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1A" w:rsidRDefault="00784C1A" w:rsidP="00FC5A0B">
      <w:pPr>
        <w:spacing w:beforeLines="50"/>
        <w:jc w:val="center"/>
        <w:rPr>
          <w:rFonts w:ascii="黑体" w:eastAsia="黑体"/>
          <w:b/>
          <w:bCs/>
          <w:sz w:val="32"/>
          <w:szCs w:val="28"/>
        </w:rPr>
      </w:pPr>
      <w:r>
        <w:rPr>
          <w:rFonts w:ascii="黑体" w:eastAsia="黑体" w:hint="eastAsia"/>
          <w:b/>
          <w:bCs/>
          <w:sz w:val="32"/>
          <w:szCs w:val="28"/>
        </w:rPr>
        <w:t>2012年度重点实验室总结报告</w:t>
      </w:r>
    </w:p>
    <w:p w:rsidR="00784C1A" w:rsidRDefault="00784C1A" w:rsidP="00FC5A0B">
      <w:pPr>
        <w:spacing w:beforeLines="50"/>
        <w:rPr>
          <w:rFonts w:ascii="仿宋_GB2312" w:eastAsia="仿宋_GB2312"/>
          <w:b/>
          <w:bCs/>
          <w:sz w:val="24"/>
          <w:szCs w:val="30"/>
        </w:rPr>
      </w:pPr>
      <w:r>
        <w:rPr>
          <w:rFonts w:ascii="仿宋_GB2312" w:eastAsia="仿宋_GB2312" w:hint="eastAsia"/>
          <w:b/>
          <w:bCs/>
          <w:sz w:val="24"/>
          <w:szCs w:val="30"/>
        </w:rPr>
        <w:t>重点实验室名称：</w:t>
      </w:r>
    </w:p>
    <w:p w:rsidR="00784C1A" w:rsidRDefault="00784C1A" w:rsidP="00FC5A0B">
      <w:pPr>
        <w:spacing w:beforeLines="50"/>
        <w:rPr>
          <w:rFonts w:ascii="仿宋_GB2312" w:eastAsia="仿宋_GB2312"/>
          <w:b/>
          <w:bCs/>
          <w:sz w:val="24"/>
          <w:szCs w:val="30"/>
        </w:rPr>
      </w:pPr>
      <w:r>
        <w:rPr>
          <w:rFonts w:ascii="仿宋_GB2312" w:eastAsia="仿宋_GB2312" w:hint="eastAsia"/>
          <w:b/>
          <w:bCs/>
          <w:sz w:val="24"/>
          <w:szCs w:val="30"/>
        </w:rPr>
        <w:t>实验室主任：</w:t>
      </w:r>
      <w:r>
        <w:rPr>
          <w:rFonts w:ascii="仿宋_GB2312" w:eastAsia="仿宋_GB2312" w:hint="eastAsia"/>
          <w:b/>
          <w:bCs/>
          <w:sz w:val="24"/>
          <w:szCs w:val="30"/>
        </w:rPr>
        <w:tab/>
        <w:t xml:space="preserve">季加孚  </w:t>
      </w:r>
      <w:r>
        <w:rPr>
          <w:rFonts w:ascii="仿宋_GB2312" w:eastAsia="仿宋_GB2312" w:hint="eastAsia"/>
          <w:b/>
          <w:bCs/>
          <w:sz w:val="24"/>
          <w:szCs w:val="30"/>
        </w:rPr>
        <w:tab/>
      </w:r>
      <w:r>
        <w:rPr>
          <w:rFonts w:ascii="仿宋_GB2312" w:eastAsia="仿宋_GB2312" w:hint="eastAsia"/>
          <w:b/>
          <w:bCs/>
          <w:sz w:val="24"/>
          <w:szCs w:val="30"/>
        </w:rPr>
        <w:tab/>
        <w:t>副主任：寿成超、尚永丰</w:t>
      </w:r>
    </w:p>
    <w:p w:rsidR="00784C1A" w:rsidRDefault="00784C1A" w:rsidP="00FC5A0B">
      <w:pPr>
        <w:spacing w:beforeLines="50"/>
        <w:rPr>
          <w:rFonts w:ascii="仿宋_GB2312" w:eastAsia="仿宋_GB2312"/>
          <w:b/>
          <w:bCs/>
          <w:sz w:val="24"/>
          <w:szCs w:val="30"/>
        </w:rPr>
      </w:pPr>
      <w:r>
        <w:rPr>
          <w:rFonts w:ascii="仿宋_GB2312" w:eastAsia="仿宋_GB2312" w:hint="eastAsia"/>
          <w:b/>
          <w:bCs/>
          <w:sz w:val="24"/>
          <w:szCs w:val="30"/>
        </w:rPr>
        <w:t xml:space="preserve">学术委员会主任：魏于全   </w:t>
      </w:r>
      <w:r>
        <w:rPr>
          <w:rFonts w:ascii="仿宋_GB2312" w:eastAsia="仿宋_GB2312" w:hint="eastAsia"/>
          <w:b/>
          <w:bCs/>
          <w:sz w:val="24"/>
          <w:szCs w:val="30"/>
        </w:rPr>
        <w:tab/>
        <w:t>副主任</w:t>
      </w:r>
      <w:r w:rsidR="00880871">
        <w:rPr>
          <w:rFonts w:ascii="仿宋_GB2312" w:eastAsia="仿宋_GB2312" w:hint="eastAsia"/>
          <w:b/>
          <w:bCs/>
          <w:sz w:val="24"/>
          <w:szCs w:val="30"/>
        </w:rPr>
        <w:t>委员</w:t>
      </w:r>
      <w:r>
        <w:rPr>
          <w:rFonts w:ascii="仿宋_GB2312" w:eastAsia="仿宋_GB2312" w:hint="eastAsia"/>
          <w:b/>
          <w:bCs/>
          <w:sz w:val="24"/>
          <w:szCs w:val="30"/>
        </w:rPr>
        <w:t>：詹启敏、方伟岗</w:t>
      </w:r>
    </w:p>
    <w:p w:rsidR="00784C1A" w:rsidRDefault="00784C1A" w:rsidP="00FC5A0B">
      <w:pPr>
        <w:spacing w:beforeLines="50"/>
        <w:rPr>
          <w:rFonts w:ascii="仿宋_GB2312" w:eastAsia="仿宋_GB2312"/>
          <w:b/>
          <w:bCs/>
          <w:sz w:val="24"/>
          <w:szCs w:val="30"/>
        </w:rPr>
      </w:pPr>
      <w:r>
        <w:rPr>
          <w:rFonts w:ascii="仿宋_GB2312" w:eastAsia="仿宋_GB2312" w:hint="eastAsia"/>
          <w:b/>
          <w:bCs/>
          <w:sz w:val="24"/>
          <w:szCs w:val="30"/>
        </w:rPr>
        <w:t>填报人：霍岩</w:t>
      </w:r>
    </w:p>
    <w:p w:rsidR="00784C1A" w:rsidRDefault="00784C1A" w:rsidP="00FC5A0B">
      <w:pPr>
        <w:spacing w:beforeLines="50"/>
        <w:rPr>
          <w:rFonts w:ascii="仿宋_GB2312" w:eastAsia="仿宋_GB2312"/>
          <w:b/>
          <w:bCs/>
          <w:sz w:val="24"/>
          <w:szCs w:val="30"/>
        </w:rPr>
      </w:pPr>
      <w:r>
        <w:rPr>
          <w:rFonts w:ascii="仿宋_GB2312" w:eastAsia="仿宋_GB2312" w:hint="eastAsia"/>
          <w:b/>
          <w:bCs/>
          <w:sz w:val="24"/>
          <w:szCs w:val="30"/>
        </w:rPr>
        <w:t>总结报告内容：</w:t>
      </w:r>
    </w:p>
    <w:p w:rsidR="00784C1A" w:rsidRDefault="00784C1A" w:rsidP="00D77B88">
      <w:pPr>
        <w:numPr>
          <w:ilvl w:val="0"/>
          <w:numId w:val="1"/>
        </w:numPr>
        <w:tabs>
          <w:tab w:val="clear" w:pos="1280"/>
          <w:tab w:val="num" w:pos="0"/>
        </w:tabs>
        <w:ind w:left="0" w:firstLine="0"/>
        <w:rPr>
          <w:rFonts w:ascii="仿宋_GB2312" w:eastAsia="仿宋_GB2312"/>
          <w:b/>
          <w:bCs/>
          <w:sz w:val="24"/>
          <w:szCs w:val="30"/>
        </w:rPr>
      </w:pPr>
      <w:r>
        <w:rPr>
          <w:rFonts w:ascii="仿宋_GB2312" w:eastAsia="仿宋_GB2312" w:hint="eastAsia"/>
          <w:b/>
          <w:bCs/>
          <w:sz w:val="24"/>
          <w:szCs w:val="30"/>
        </w:rPr>
        <w:t>研究水平与贡献</w:t>
      </w: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本年度新增项目和合同经费数（万元）（</w:t>
      </w:r>
      <w:r w:rsidRPr="00E80009">
        <w:rPr>
          <w:rFonts w:ascii="仿宋_GB2312" w:eastAsia="仿宋_GB2312" w:hint="eastAsia"/>
          <w:b/>
          <w:sz w:val="24"/>
          <w:szCs w:val="30"/>
        </w:rPr>
        <w:t>注：本次统计的数据是指</w:t>
      </w:r>
      <w:r>
        <w:rPr>
          <w:rFonts w:ascii="仿宋_GB2312" w:eastAsia="仿宋_GB2312" w:hint="eastAsia"/>
          <w:b/>
          <w:sz w:val="24"/>
          <w:szCs w:val="30"/>
        </w:rPr>
        <w:t>2012</w:t>
      </w:r>
      <w:r w:rsidRPr="00E80009">
        <w:rPr>
          <w:rFonts w:ascii="仿宋_GB2312" w:eastAsia="仿宋_GB2312" w:hint="eastAsia"/>
          <w:b/>
          <w:sz w:val="24"/>
          <w:szCs w:val="30"/>
        </w:rPr>
        <w:t>年1月1日</w:t>
      </w:r>
      <w:r>
        <w:rPr>
          <w:rFonts w:ascii="仿宋_GB2312" w:eastAsia="仿宋_GB2312" w:hint="eastAsia"/>
          <w:b/>
          <w:sz w:val="24"/>
          <w:szCs w:val="30"/>
        </w:rPr>
        <w:t>-2012</w:t>
      </w:r>
      <w:r w:rsidRPr="00E80009">
        <w:rPr>
          <w:rFonts w:ascii="仿宋_GB2312" w:eastAsia="仿宋_GB2312" w:hint="eastAsia"/>
          <w:b/>
          <w:sz w:val="24"/>
          <w:szCs w:val="30"/>
        </w:rPr>
        <w:t>年12月31日，当年新增的项目和合同</w:t>
      </w:r>
      <w:r>
        <w:rPr>
          <w:rFonts w:ascii="仿宋_GB2312" w:eastAsia="仿宋_GB2312" w:hint="eastAsia"/>
          <w:b/>
          <w:sz w:val="24"/>
          <w:szCs w:val="30"/>
        </w:rPr>
        <w:t>经费数</w:t>
      </w:r>
      <w:r w:rsidRPr="00E80009">
        <w:rPr>
          <w:rFonts w:ascii="仿宋_GB2312" w:eastAsia="仿宋_GB2312" w:hint="eastAsia"/>
          <w:b/>
          <w:sz w:val="24"/>
          <w:szCs w:val="30"/>
        </w:rPr>
        <w:t>，不是当年在研的项目、经费</w:t>
      </w:r>
      <w:r>
        <w:rPr>
          <w:rFonts w:ascii="仿宋_GB2312" w:eastAsia="仿宋_GB2312" w:hint="eastAsia"/>
          <w:b/>
          <w:sz w:val="24"/>
          <w:szCs w:val="30"/>
        </w:rPr>
        <w:t>数。以合同经费数为统计目标，不是当年到校经费数。</w:t>
      </w:r>
      <w:r>
        <w:rPr>
          <w:rFonts w:ascii="仿宋_GB2312" w:eastAsia="仿宋_GB2312" w:hint="eastAsia"/>
          <w:sz w:val="24"/>
          <w:szCs w:val="30"/>
        </w:rPr>
        <w:t>）</w:t>
      </w:r>
    </w:p>
    <w:p w:rsidR="003C656E" w:rsidRPr="003C656E" w:rsidRDefault="003C656E" w:rsidP="003C656E">
      <w:pPr>
        <w:spacing w:before="156"/>
        <w:ind w:firstLineChars="200" w:firstLine="420"/>
        <w:rPr>
          <w:rFonts w:ascii="宋体" w:hAnsi="宋体" w:cs="宋体"/>
          <w:color w:val="101010"/>
          <w:kern w:val="0"/>
          <w:szCs w:val="21"/>
        </w:rPr>
      </w:pPr>
      <w:r w:rsidRPr="003C656E">
        <w:rPr>
          <w:rFonts w:ascii="宋体" w:hAnsi="宋体" w:cs="宋体" w:hint="eastAsia"/>
          <w:color w:val="101010"/>
          <w:kern w:val="0"/>
          <w:szCs w:val="21"/>
        </w:rPr>
        <w:t>2012年度获得各类科研课题</w:t>
      </w:r>
      <w:r w:rsidR="00046913">
        <w:rPr>
          <w:rFonts w:ascii="宋体" w:hAnsi="宋体" w:cs="宋体" w:hint="eastAsia"/>
          <w:color w:val="101010"/>
          <w:kern w:val="0"/>
          <w:szCs w:val="21"/>
        </w:rPr>
        <w:t>91</w:t>
      </w:r>
      <w:r w:rsidRPr="003C656E">
        <w:rPr>
          <w:rFonts w:ascii="宋体" w:hAnsi="宋体" w:cs="宋体" w:hint="eastAsia"/>
          <w:color w:val="101010"/>
          <w:kern w:val="0"/>
          <w:szCs w:val="21"/>
        </w:rPr>
        <w:t>项，研究经费达6</w:t>
      </w:r>
      <w:r w:rsidR="00046913">
        <w:rPr>
          <w:rFonts w:ascii="宋体" w:hAnsi="宋体" w:cs="宋体" w:hint="eastAsia"/>
          <w:color w:val="101010"/>
          <w:kern w:val="0"/>
          <w:szCs w:val="21"/>
        </w:rPr>
        <w:t>400</w:t>
      </w:r>
      <w:r w:rsidRPr="003C656E">
        <w:rPr>
          <w:rFonts w:ascii="宋体" w:hAnsi="宋体" w:cs="宋体" w:hint="eastAsia"/>
          <w:color w:val="101010"/>
          <w:kern w:val="0"/>
          <w:szCs w:val="21"/>
        </w:rPr>
        <w:t>余万元。其中国家级科研项目</w:t>
      </w:r>
      <w:r w:rsidR="00046913">
        <w:rPr>
          <w:rFonts w:ascii="宋体" w:hAnsi="宋体" w:cs="宋体" w:hint="eastAsia"/>
          <w:color w:val="101010"/>
          <w:kern w:val="0"/>
          <w:szCs w:val="21"/>
        </w:rPr>
        <w:t>38</w:t>
      </w:r>
      <w:r w:rsidRPr="003C656E">
        <w:rPr>
          <w:rFonts w:ascii="宋体" w:hAnsi="宋体" w:cs="宋体" w:hint="eastAsia"/>
          <w:color w:val="101010"/>
          <w:kern w:val="0"/>
          <w:szCs w:val="21"/>
        </w:rPr>
        <w:t>项，科研经费约</w:t>
      </w:r>
      <w:r w:rsidR="00046913">
        <w:rPr>
          <w:rFonts w:ascii="宋体" w:hAnsi="宋体" w:cs="宋体" w:hint="eastAsia"/>
          <w:color w:val="101010"/>
          <w:kern w:val="0"/>
          <w:szCs w:val="21"/>
        </w:rPr>
        <w:t>4278</w:t>
      </w:r>
      <w:r w:rsidRPr="003C656E">
        <w:rPr>
          <w:rFonts w:ascii="宋体" w:hAnsi="宋体" w:cs="宋体" w:hint="eastAsia"/>
          <w:color w:val="101010"/>
          <w:kern w:val="0"/>
          <w:szCs w:val="21"/>
        </w:rPr>
        <w:t>万元，市部级26项，科研经费692万元，及其它课题26项，科研经费1404万元。</w:t>
      </w:r>
    </w:p>
    <w:p w:rsidR="003C656E" w:rsidRPr="003C656E" w:rsidRDefault="003C656E" w:rsidP="003C656E">
      <w:pPr>
        <w:spacing w:before="156"/>
        <w:ind w:left="980"/>
        <w:jc w:val="center"/>
        <w:rPr>
          <w:rFonts w:ascii="宋体" w:hAnsi="宋体" w:cs="宋体"/>
          <w:b/>
          <w:color w:val="101010"/>
          <w:kern w:val="0"/>
          <w:szCs w:val="21"/>
        </w:rPr>
      </w:pPr>
      <w:r w:rsidRPr="003C656E">
        <w:rPr>
          <w:rFonts w:ascii="宋体" w:hAnsi="宋体" w:cs="宋体" w:hint="eastAsia"/>
          <w:b/>
          <w:color w:val="101010"/>
          <w:kern w:val="0"/>
          <w:szCs w:val="21"/>
        </w:rPr>
        <w:t>2012年获得的市部级以上项目</w:t>
      </w:r>
    </w:p>
    <w:tbl>
      <w:tblPr>
        <w:tblW w:w="9219" w:type="dxa"/>
        <w:tblInd w:w="103" w:type="dxa"/>
        <w:tblLayout w:type="fixed"/>
        <w:tblLook w:val="04A0"/>
      </w:tblPr>
      <w:tblGrid>
        <w:gridCol w:w="416"/>
        <w:gridCol w:w="1574"/>
        <w:gridCol w:w="2126"/>
        <w:gridCol w:w="1701"/>
        <w:gridCol w:w="851"/>
        <w:gridCol w:w="1701"/>
        <w:gridCol w:w="850"/>
      </w:tblGrid>
      <w:tr w:rsidR="003C656E" w:rsidRPr="0003436F" w:rsidTr="003C656E">
        <w:trPr>
          <w:trHeight w:val="72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序号</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来源</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课题名称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项目批准号</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金额 (万元）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C656E" w:rsidRPr="008A6608" w:rsidRDefault="003C656E" w:rsidP="003C656E">
            <w:pPr>
              <w:widowControl/>
              <w:jc w:val="center"/>
              <w:rPr>
                <w:rFonts w:ascii="宋体" w:hAnsi="宋体" w:cs="宋体"/>
                <w:kern w:val="0"/>
                <w:sz w:val="20"/>
                <w:szCs w:val="20"/>
              </w:rPr>
            </w:pPr>
            <w:r w:rsidRPr="008A6608">
              <w:rPr>
                <w:rFonts w:ascii="宋体" w:hAnsi="宋体" w:cs="宋体" w:hint="eastAsia"/>
                <w:kern w:val="0"/>
                <w:sz w:val="20"/>
                <w:szCs w:val="20"/>
              </w:rPr>
              <w:t>起止时间</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center"/>
              <w:rPr>
                <w:rFonts w:ascii="宋体" w:hAnsi="宋体" w:cs="宋体"/>
                <w:kern w:val="0"/>
                <w:sz w:val="20"/>
                <w:szCs w:val="20"/>
              </w:rPr>
            </w:pPr>
            <w:r w:rsidRPr="0003436F">
              <w:rPr>
                <w:rFonts w:ascii="宋体" w:hAnsi="宋体" w:cs="宋体" w:hint="eastAsia"/>
                <w:kern w:val="0"/>
                <w:sz w:val="20"/>
                <w:szCs w:val="20"/>
              </w:rPr>
              <w:t>负责人</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1</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科技部863项目课题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胃癌的“组学”整合研究</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2012AA02A203</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1293</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color w:val="000000"/>
                <w:kern w:val="0"/>
                <w:sz w:val="20"/>
                <w:szCs w:val="20"/>
              </w:rPr>
            </w:pPr>
            <w:r w:rsidRPr="008A6608">
              <w:rPr>
                <w:rFonts w:ascii="宋体" w:hAnsi="宋体" w:cs="宋体" w:hint="eastAsia"/>
                <w:color w:val="000000"/>
                <w:kern w:val="0"/>
                <w:sz w:val="20"/>
                <w:szCs w:val="20"/>
              </w:rPr>
              <w:t>2012.1-2015.12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邢蕊</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2</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科技部863项目课题子课题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食管癌的“基因-环境互作”“组学”研究</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2012AA02A209-2</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127</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color w:val="000000"/>
                <w:kern w:val="0"/>
                <w:sz w:val="20"/>
                <w:szCs w:val="20"/>
              </w:rPr>
            </w:pPr>
            <w:r w:rsidRPr="008A6608">
              <w:rPr>
                <w:rFonts w:ascii="宋体" w:hAnsi="宋体" w:cs="宋体" w:hint="eastAsia"/>
                <w:color w:val="000000"/>
                <w:kern w:val="0"/>
                <w:sz w:val="20"/>
                <w:szCs w:val="20"/>
              </w:rPr>
              <w:t>2012.1-2015.12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柯杨</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3</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科技部863项目课题子课题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结直肠癌分子分型和个体化诊疗技术</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2012AA02A506</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42.5</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kern w:val="0"/>
                <w:sz w:val="20"/>
                <w:szCs w:val="20"/>
              </w:rPr>
            </w:pPr>
            <w:r w:rsidRPr="008A6608">
              <w:rPr>
                <w:rFonts w:ascii="宋体" w:hAnsi="宋体" w:cs="宋体" w:hint="eastAsia"/>
                <w:kern w:val="0"/>
                <w:sz w:val="20"/>
                <w:szCs w:val="20"/>
              </w:rPr>
              <w:t>2012.1-2015.12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顾晋</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4</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科技部863项目课题子课题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面向3P医学的生物芯片研制</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2012AA020101</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33</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kern w:val="0"/>
                <w:sz w:val="20"/>
                <w:szCs w:val="20"/>
              </w:rPr>
            </w:pPr>
            <w:r w:rsidRPr="008A6608">
              <w:rPr>
                <w:rFonts w:ascii="宋体" w:hAnsi="宋体" w:cs="宋体" w:hint="eastAsia"/>
                <w:kern w:val="0"/>
                <w:sz w:val="20"/>
                <w:szCs w:val="20"/>
              </w:rPr>
              <w:t>2012.1-2015.12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张连海</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5</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科技部863项目课题子课题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肺癌生物样本库病例资料信息库的建立</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2012AA02A502</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kern w:val="0"/>
                <w:sz w:val="20"/>
                <w:szCs w:val="20"/>
              </w:rPr>
            </w:pPr>
            <w:r w:rsidRPr="008A6608">
              <w:rPr>
                <w:rFonts w:ascii="宋体" w:hAnsi="宋体" w:cs="宋体" w:hint="eastAsia"/>
                <w:kern w:val="0"/>
                <w:sz w:val="20"/>
                <w:szCs w:val="20"/>
              </w:rPr>
              <w:t>2012.11-2015.12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杨跃</w:t>
            </w:r>
          </w:p>
        </w:tc>
      </w:tr>
      <w:tr w:rsidR="003C656E"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6</w:t>
            </w:r>
          </w:p>
        </w:tc>
        <w:tc>
          <w:tcPr>
            <w:tcW w:w="1574"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科技部863项目课题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胃癌生物学特性分子标志谱的病理学鉴定</w:t>
            </w:r>
          </w:p>
        </w:tc>
        <w:tc>
          <w:tcPr>
            <w:tcW w:w="170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2012AA02A203</w:t>
            </w:r>
          </w:p>
        </w:tc>
        <w:tc>
          <w:tcPr>
            <w:tcW w:w="851"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8A6608" w:rsidRDefault="003C656E" w:rsidP="003C656E">
            <w:pPr>
              <w:widowControl/>
              <w:jc w:val="left"/>
              <w:rPr>
                <w:rFonts w:ascii="宋体" w:hAnsi="宋体" w:cs="宋体"/>
                <w:kern w:val="0"/>
                <w:sz w:val="20"/>
                <w:szCs w:val="20"/>
              </w:rPr>
            </w:pPr>
            <w:r w:rsidRPr="008A6608">
              <w:rPr>
                <w:rFonts w:ascii="宋体" w:hAnsi="宋体" w:cs="宋体" w:hint="eastAsia"/>
                <w:kern w:val="0"/>
                <w:sz w:val="20"/>
                <w:szCs w:val="20"/>
              </w:rPr>
              <w:t>2012.11-2015.12</w:t>
            </w:r>
          </w:p>
        </w:tc>
        <w:tc>
          <w:tcPr>
            <w:tcW w:w="850" w:type="dxa"/>
            <w:tcBorders>
              <w:top w:val="nil"/>
              <w:left w:val="nil"/>
              <w:bottom w:val="single" w:sz="4" w:space="0" w:color="auto"/>
              <w:right w:val="single" w:sz="4" w:space="0" w:color="auto"/>
            </w:tcBorders>
            <w:shd w:val="clear" w:color="auto" w:fill="auto"/>
            <w:vAlign w:val="bottom"/>
            <w:hideMark/>
          </w:tcPr>
          <w:p w:rsidR="003C656E" w:rsidRPr="0003436F" w:rsidRDefault="003C656E" w:rsidP="003C656E">
            <w:pPr>
              <w:widowControl/>
              <w:jc w:val="left"/>
              <w:rPr>
                <w:rFonts w:ascii="宋体" w:hAnsi="宋体" w:cs="宋体"/>
                <w:kern w:val="0"/>
                <w:sz w:val="20"/>
                <w:szCs w:val="20"/>
              </w:rPr>
            </w:pPr>
            <w:r w:rsidRPr="0003436F">
              <w:rPr>
                <w:rFonts w:ascii="宋体" w:hAnsi="宋体" w:cs="宋体" w:hint="eastAsia"/>
                <w:kern w:val="0"/>
                <w:sz w:val="20"/>
                <w:szCs w:val="20"/>
              </w:rPr>
              <w:t>王洪义</w:t>
            </w:r>
          </w:p>
        </w:tc>
      </w:tr>
      <w:tr w:rsidR="003C656E"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7</w:t>
            </w:r>
          </w:p>
        </w:tc>
        <w:tc>
          <w:tcPr>
            <w:tcW w:w="1574"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科技部973项目课题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DNA代谢和损伤应答相关蛋白在肿瘤个体</w:t>
            </w:r>
            <w:r w:rsidRPr="002E0DEA">
              <w:rPr>
                <w:rFonts w:ascii="宋体" w:hAnsi="宋体" w:cs="宋体" w:hint="eastAsia"/>
                <w:kern w:val="0"/>
                <w:sz w:val="20"/>
                <w:szCs w:val="20"/>
              </w:rPr>
              <w:lastRenderedPageBreak/>
              <w:t>化诊治中的应用研究</w:t>
            </w:r>
          </w:p>
        </w:tc>
        <w:tc>
          <w:tcPr>
            <w:tcW w:w="170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lastRenderedPageBreak/>
              <w:t>2013CB911004</w:t>
            </w:r>
          </w:p>
        </w:tc>
        <w:tc>
          <w:tcPr>
            <w:tcW w:w="85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252</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2013.1-2014.12</w:t>
            </w:r>
          </w:p>
        </w:tc>
        <w:tc>
          <w:tcPr>
            <w:tcW w:w="850"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郭军</w:t>
            </w:r>
          </w:p>
        </w:tc>
      </w:tr>
      <w:tr w:rsidR="003C656E"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lastRenderedPageBreak/>
              <w:t>8</w:t>
            </w:r>
          </w:p>
        </w:tc>
        <w:tc>
          <w:tcPr>
            <w:tcW w:w="1574"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科技部973项目课题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鼻咽癌与食管癌相关致瘤病毒亚型和变异体研究（后三年）</w:t>
            </w:r>
          </w:p>
        </w:tc>
        <w:tc>
          <w:tcPr>
            <w:tcW w:w="170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2011CB504301</w:t>
            </w:r>
          </w:p>
        </w:tc>
        <w:tc>
          <w:tcPr>
            <w:tcW w:w="85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437</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2013.1-2015.8</w:t>
            </w:r>
          </w:p>
        </w:tc>
        <w:tc>
          <w:tcPr>
            <w:tcW w:w="850"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柯杨</w:t>
            </w:r>
          </w:p>
        </w:tc>
      </w:tr>
      <w:tr w:rsidR="003C656E"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9</w:t>
            </w:r>
          </w:p>
        </w:tc>
        <w:tc>
          <w:tcPr>
            <w:tcW w:w="1574"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科技部973项目课题子课题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DNA甲基化变化在恶性肿瘤发展及侵袭转移中的作用</w:t>
            </w:r>
          </w:p>
        </w:tc>
        <w:tc>
          <w:tcPr>
            <w:tcW w:w="170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2011CB504201</w:t>
            </w:r>
          </w:p>
        </w:tc>
        <w:tc>
          <w:tcPr>
            <w:tcW w:w="85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108</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2011.1-2015.8</w:t>
            </w:r>
          </w:p>
        </w:tc>
        <w:tc>
          <w:tcPr>
            <w:tcW w:w="850"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邓大君</w:t>
            </w:r>
          </w:p>
        </w:tc>
      </w:tr>
      <w:tr w:rsidR="003C656E"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10</w:t>
            </w:r>
          </w:p>
        </w:tc>
        <w:tc>
          <w:tcPr>
            <w:tcW w:w="1574"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科技部973项目课题子课题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后三年CSCs始动肿瘤侵袭及其在复发和转移中的作用及机理研究</w:t>
            </w:r>
          </w:p>
        </w:tc>
        <w:tc>
          <w:tcPr>
            <w:tcW w:w="170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2010CB529402</w:t>
            </w:r>
          </w:p>
        </w:tc>
        <w:tc>
          <w:tcPr>
            <w:tcW w:w="85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2010.5-2014.12</w:t>
            </w:r>
          </w:p>
        </w:tc>
        <w:tc>
          <w:tcPr>
            <w:tcW w:w="850"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张志谦</w:t>
            </w:r>
          </w:p>
        </w:tc>
      </w:tr>
      <w:tr w:rsidR="003C656E"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11</w:t>
            </w:r>
          </w:p>
        </w:tc>
        <w:tc>
          <w:tcPr>
            <w:tcW w:w="1574"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科技部973重大科学研究计划子课题</w:t>
            </w:r>
          </w:p>
        </w:tc>
        <w:tc>
          <w:tcPr>
            <w:tcW w:w="2126"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炎症诱导肿瘤的分子调控网络研究/炎症相关肿瘤中癌基因和抑癌基因的异常调控网络研究</w:t>
            </w:r>
          </w:p>
        </w:tc>
        <w:tc>
          <w:tcPr>
            <w:tcW w:w="170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2012CB910800/2012CB910803</w:t>
            </w:r>
          </w:p>
        </w:tc>
        <w:tc>
          <w:tcPr>
            <w:tcW w:w="851"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83.7</w:t>
            </w:r>
          </w:p>
        </w:tc>
        <w:tc>
          <w:tcPr>
            <w:tcW w:w="1701" w:type="dxa"/>
            <w:tcBorders>
              <w:top w:val="nil"/>
              <w:left w:val="nil"/>
              <w:bottom w:val="single" w:sz="4" w:space="0" w:color="auto"/>
              <w:right w:val="single" w:sz="4" w:space="0" w:color="auto"/>
            </w:tcBorders>
            <w:shd w:val="clear" w:color="auto" w:fill="auto"/>
            <w:noWrap/>
            <w:vAlign w:val="center"/>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2012.1-2013.12</w:t>
            </w:r>
          </w:p>
        </w:tc>
        <w:tc>
          <w:tcPr>
            <w:tcW w:w="850" w:type="dxa"/>
            <w:tcBorders>
              <w:top w:val="nil"/>
              <w:left w:val="nil"/>
              <w:bottom w:val="single" w:sz="4" w:space="0" w:color="auto"/>
              <w:right w:val="single" w:sz="4" w:space="0" w:color="auto"/>
            </w:tcBorders>
            <w:shd w:val="clear" w:color="auto" w:fill="auto"/>
            <w:vAlign w:val="bottom"/>
            <w:hideMark/>
          </w:tcPr>
          <w:p w:rsidR="003C656E" w:rsidRPr="002E0DEA" w:rsidRDefault="003C656E" w:rsidP="003C656E">
            <w:pPr>
              <w:widowControl/>
              <w:jc w:val="left"/>
              <w:rPr>
                <w:rFonts w:ascii="宋体" w:hAnsi="宋体" w:cs="宋体"/>
                <w:kern w:val="0"/>
                <w:sz w:val="20"/>
                <w:szCs w:val="20"/>
              </w:rPr>
            </w:pPr>
            <w:r w:rsidRPr="002E0DEA">
              <w:rPr>
                <w:rFonts w:ascii="宋体" w:hAnsi="宋体" w:cs="宋体" w:hint="eastAsia"/>
                <w:kern w:val="0"/>
                <w:sz w:val="20"/>
                <w:szCs w:val="20"/>
              </w:rPr>
              <w:t>蔡红</w:t>
            </w:r>
          </w:p>
        </w:tc>
      </w:tr>
      <w:tr w:rsidR="00046913" w:rsidRPr="002E0DEA" w:rsidTr="00046913">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12</w:t>
            </w:r>
          </w:p>
        </w:tc>
        <w:tc>
          <w:tcPr>
            <w:tcW w:w="1574" w:type="dxa"/>
            <w:tcBorders>
              <w:top w:val="nil"/>
              <w:left w:val="nil"/>
              <w:bottom w:val="single" w:sz="4" w:space="0" w:color="auto"/>
              <w:right w:val="single" w:sz="4" w:space="0" w:color="auto"/>
            </w:tcBorders>
            <w:shd w:val="clear" w:color="auto" w:fill="auto"/>
            <w:vAlign w:val="center"/>
            <w:hideMark/>
          </w:tcPr>
          <w:p w:rsidR="00046913" w:rsidRPr="008F1205" w:rsidRDefault="00046913" w:rsidP="00B12089">
            <w:pPr>
              <w:widowControl/>
              <w:jc w:val="left"/>
              <w:rPr>
                <w:rFonts w:ascii="宋体" w:hAnsi="宋体" w:cs="宋体"/>
                <w:bCs/>
                <w:kern w:val="0"/>
              </w:rPr>
            </w:pPr>
            <w:r w:rsidRPr="008F1205">
              <w:rPr>
                <w:rFonts w:ascii="宋体" w:hAnsi="宋体" w:cs="宋体" w:hint="eastAsia"/>
                <w:bCs/>
                <w:kern w:val="0"/>
              </w:rPr>
              <w:t>科技部</w:t>
            </w:r>
            <w:r w:rsidRPr="008F1205">
              <w:rPr>
                <w:rFonts w:ascii="宋体" w:hAnsi="宋体" w:cs="黑体" w:hint="eastAsia"/>
                <w:bCs/>
                <w:kern w:val="0"/>
              </w:rPr>
              <w:t>重大新药创制</w:t>
            </w:r>
          </w:p>
        </w:tc>
        <w:tc>
          <w:tcPr>
            <w:tcW w:w="2126"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sidRPr="008F1205">
              <w:rPr>
                <w:rFonts w:ascii="宋体" w:hAnsi="宋体" w:cs="宋体"/>
                <w:bCs/>
                <w:kern w:val="0"/>
              </w:rPr>
              <w:t>建立针对膜雌激素受体ER-α36作为靶标的新药筛选企业孵化基地</w:t>
            </w:r>
          </w:p>
        </w:tc>
        <w:tc>
          <w:tcPr>
            <w:tcW w:w="1701"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sidRPr="001E55DB">
              <w:rPr>
                <w:rFonts w:ascii="宋体" w:hAnsi="宋体" w:cs="宋体"/>
                <w:bCs/>
                <w:kern w:val="0"/>
              </w:rPr>
              <w:t>2013ZX0</w:t>
            </w:r>
            <w:smartTag w:uri="urn:schemas-microsoft-com:office:smarttags" w:element="chsdate">
              <w:smartTagPr>
                <w:attr w:name="IsROCDate" w:val="False"/>
                <w:attr w:name="IsLunarDate" w:val="False"/>
                <w:attr w:name="Day" w:val="6"/>
                <w:attr w:name="Month" w:val="4"/>
                <w:attr w:name="Year" w:val="9401"/>
              </w:smartTagPr>
              <w:r w:rsidRPr="001E55DB">
                <w:rPr>
                  <w:rFonts w:ascii="宋体" w:hAnsi="宋体" w:cs="宋体"/>
                  <w:bCs/>
                  <w:kern w:val="0"/>
                </w:rPr>
                <w:t>9401-004-006</w:t>
              </w:r>
            </w:smartTag>
          </w:p>
        </w:tc>
        <w:tc>
          <w:tcPr>
            <w:tcW w:w="851" w:type="dxa"/>
            <w:tcBorders>
              <w:top w:val="nil"/>
              <w:left w:val="nil"/>
              <w:bottom w:val="single" w:sz="4" w:space="0" w:color="auto"/>
              <w:right w:val="single" w:sz="4" w:space="0" w:color="auto"/>
            </w:tcBorders>
            <w:shd w:val="clear" w:color="auto" w:fill="auto"/>
            <w:vAlign w:val="bottom"/>
            <w:hideMark/>
          </w:tcPr>
          <w:p w:rsidR="00046913" w:rsidRPr="00046913" w:rsidRDefault="00046913" w:rsidP="00046913">
            <w:pPr>
              <w:widowControl/>
              <w:rPr>
                <w:rFonts w:ascii="宋体" w:hAnsi="宋体" w:cs="宋体"/>
                <w:kern w:val="0"/>
                <w:sz w:val="20"/>
                <w:szCs w:val="20"/>
              </w:rPr>
            </w:pPr>
            <w:r w:rsidRPr="00046913">
              <w:rPr>
                <w:rFonts w:ascii="宋体" w:hAnsi="宋体" w:cs="宋体" w:hint="eastAsia"/>
                <w:kern w:val="0"/>
                <w:sz w:val="20"/>
                <w:szCs w:val="20"/>
              </w:rPr>
              <w:t>45.88</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D515BE" w:rsidRDefault="00046913" w:rsidP="00046913">
            <w:pPr>
              <w:widowControl/>
              <w:jc w:val="left"/>
              <w:rPr>
                <w:rFonts w:ascii="宋体" w:hAnsi="宋体" w:cs="宋体"/>
                <w:bCs/>
                <w:kern w:val="0"/>
              </w:rPr>
            </w:pPr>
            <w:r w:rsidRPr="00883DE2">
              <w:rPr>
                <w:color w:val="000000"/>
              </w:rPr>
              <w:t>2013-1</w:t>
            </w:r>
            <w:r>
              <w:rPr>
                <w:color w:val="000000"/>
              </w:rPr>
              <w:t xml:space="preserve"> - 201</w:t>
            </w:r>
            <w:r>
              <w:rPr>
                <w:rFonts w:hint="eastAsia"/>
                <w:color w:val="000000"/>
              </w:rPr>
              <w:t>5</w:t>
            </w:r>
            <w:r w:rsidRPr="00883DE2">
              <w:rPr>
                <w:color w:val="000000"/>
              </w:rPr>
              <w:t>-12</w:t>
            </w:r>
          </w:p>
        </w:tc>
        <w:tc>
          <w:tcPr>
            <w:tcW w:w="850"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Pr>
                <w:rFonts w:ascii="宋体" w:hAnsi="宋体" w:cs="宋体" w:hint="eastAsia"/>
                <w:bCs/>
                <w:kern w:val="0"/>
              </w:rPr>
              <w:t>战军</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13</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卫生部十二五重大专项子课题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利卡汀抗肝细胞癌TACE术后复发和转移的临床研究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2012ZX10002015-003</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85.88</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2012.11-2015.12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陈辉</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14</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卫生部卫生行业科研专项经费子课题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消化道肿瘤二级预防策略与行业标准研究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201202014</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2012.1-2014.12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季加孚</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15</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卫生部卫生行业科研专项经费子课题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消化道肿瘤二级预防策略与行业标准研究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201202014</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2012.1-2014.12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游伟程</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16</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磁共振扩散成像多模型评价胃癌新辅助化疗疗效及病理组织学机制研究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81201215</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唐磊</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17</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肿瘤相关巨噬细胞在促进淋巴肿瘤恶性增殖中的作用及机制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81201873</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丁宁</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18</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PBX3在结直肠癌生长和转移中的作用及其分子机制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81201964</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韩海勃</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19</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IKIP在直肠癌术前放疗敏感性预测中的作用及分子机制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81201965</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吉登波</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lastRenderedPageBreak/>
              <w:t>20</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BRCA1基因抑癌结构域错义突变的功能及与PARP抑制剂敏感性分析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81202106</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毋丽娜</w:t>
            </w:r>
          </w:p>
        </w:tc>
      </w:tr>
      <w:tr w:rsidR="00046913" w:rsidRPr="002E0DEA"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21</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CHEK2基因突变对乳腺癌新辅助化疗的预测作用及相关机制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81202107</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徐晔 </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22</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国家自然科学基金青年科学基金项目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TTF-1的表达与甲状腺乳头状癌的上皮间质转化及临床预后的相关性研究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81202114</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白艳花</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23</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国家自然科学基金重点项目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酪氨酸磷酸酶PRL-3引起染色体不稳定的机制及在肠癌发生中的作用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81230046</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290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2013.1-2017.12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寿成超</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2E0DEA" w:rsidRDefault="00046913" w:rsidP="00464ED5">
            <w:pPr>
              <w:widowControl/>
              <w:jc w:val="left"/>
              <w:rPr>
                <w:rFonts w:ascii="宋体" w:hAnsi="宋体" w:cs="宋体"/>
                <w:kern w:val="0"/>
                <w:sz w:val="20"/>
                <w:szCs w:val="20"/>
              </w:rPr>
            </w:pPr>
            <w:r w:rsidRPr="002E0DEA">
              <w:rPr>
                <w:rFonts w:ascii="宋体" w:hAnsi="宋体" w:cs="宋体" w:hint="eastAsia"/>
                <w:kern w:val="0"/>
                <w:sz w:val="20"/>
                <w:szCs w:val="20"/>
              </w:rPr>
              <w:t>24</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基于CBCT实时三维可视化透视导航技术关键科学基础和方法的研究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81271671</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2013.1-2013.12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王晓东</w:t>
            </w:r>
          </w:p>
        </w:tc>
      </w:tr>
      <w:tr w:rsidR="00046913" w:rsidRPr="002E0DEA"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03436F" w:rsidRDefault="00046913" w:rsidP="00464ED5">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25</w:t>
            </w:r>
          </w:p>
        </w:tc>
        <w:tc>
          <w:tcPr>
            <w:tcW w:w="1574"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分泌性SNCG促进肿瘤细胞恶性表型的分子机制研究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81272410</w:t>
            </w:r>
          </w:p>
        </w:tc>
        <w:tc>
          <w:tcPr>
            <w:tcW w:w="851"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2E0DEA" w:rsidRDefault="00046913" w:rsidP="003C656E">
            <w:pPr>
              <w:widowControl/>
              <w:jc w:val="left"/>
              <w:rPr>
                <w:rFonts w:ascii="宋体" w:hAnsi="宋体" w:cs="宋体"/>
                <w:kern w:val="0"/>
                <w:sz w:val="20"/>
                <w:szCs w:val="20"/>
              </w:rPr>
            </w:pPr>
            <w:r w:rsidRPr="002E0DEA">
              <w:rPr>
                <w:rFonts w:ascii="宋体" w:hAnsi="宋体" w:cs="宋体" w:hint="eastAsia"/>
                <w:kern w:val="0"/>
                <w:sz w:val="20"/>
                <w:szCs w:val="20"/>
              </w:rPr>
              <w:t>刘彩云</w:t>
            </w:r>
          </w:p>
        </w:tc>
      </w:tr>
      <w:tr w:rsidR="00046913"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03436F" w:rsidRDefault="00046913" w:rsidP="00464ED5">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26</w:t>
            </w:r>
          </w:p>
        </w:tc>
        <w:tc>
          <w:tcPr>
            <w:tcW w:w="1574"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肿瘤相关胞外抗原IGFBP-2诱导免疫抑制及机制研究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81272411</w:t>
            </w:r>
          </w:p>
        </w:tc>
        <w:tc>
          <w:tcPr>
            <w:tcW w:w="85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color w:val="000000"/>
                <w:kern w:val="0"/>
                <w:sz w:val="20"/>
                <w:szCs w:val="20"/>
              </w:rPr>
            </w:pPr>
            <w:r w:rsidRPr="008A6608">
              <w:rPr>
                <w:rFonts w:ascii="宋体" w:hAnsi="宋体" w:cs="宋体" w:hint="eastAsia"/>
                <w:color w:val="000000"/>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宋韦</w:t>
            </w:r>
          </w:p>
        </w:tc>
      </w:tr>
      <w:tr w:rsidR="00046913"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27</w:t>
            </w:r>
          </w:p>
        </w:tc>
        <w:tc>
          <w:tcPr>
            <w:tcW w:w="1574"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 xml:space="preserve">大蒜素及其与化疗药物联合用药治疗胃癌的功能及机制研究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81272550</w:t>
            </w:r>
          </w:p>
        </w:tc>
        <w:tc>
          <w:tcPr>
            <w:tcW w:w="85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color w:val="000000"/>
                <w:kern w:val="0"/>
                <w:sz w:val="20"/>
                <w:szCs w:val="20"/>
              </w:rPr>
            </w:pPr>
            <w:r w:rsidRPr="008A6608">
              <w:rPr>
                <w:rFonts w:ascii="宋体" w:hAnsi="宋体" w:cs="宋体" w:hint="eastAsia"/>
                <w:color w:val="000000"/>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吕有勇</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28</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核基质结合蛋白SATB1在结直肠癌肝转移中的作用及分子机制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81272765</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郝纯毅</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29</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调控SMAD4的ceRNA鉴定及其在结直肠癌发生发展中的作用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81272766</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苏向前</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30</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肢端及粘膜型黑色素瘤相关的microRNA表观遗传调控研究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81272991</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郭军</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31</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国家自然科学基金面上项目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消癌平注射液通过调控CYP450代谢酶克服非小细胞肺癌吉非替尼耐药的作用机制研究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81274148</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韩淑燕</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lastRenderedPageBreak/>
              <w:t>32</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国家自然科学基金专项基金项目/科学部主任基金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抗雌激素治疗在晚期非小细胞肺癌EGFR-TKIs原继发耐药中的机理研究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81241070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2013.1-2013.12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白桦</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464ED5">
            <w:pPr>
              <w:widowControl/>
              <w:jc w:val="left"/>
              <w:rPr>
                <w:rFonts w:ascii="宋体" w:hAnsi="宋体" w:cs="宋体"/>
                <w:kern w:val="0"/>
                <w:sz w:val="20"/>
                <w:szCs w:val="20"/>
              </w:rPr>
            </w:pPr>
            <w:r w:rsidRPr="008A6608">
              <w:rPr>
                <w:rFonts w:ascii="宋体" w:hAnsi="宋体" w:cs="宋体" w:hint="eastAsia"/>
                <w:kern w:val="0"/>
                <w:sz w:val="20"/>
                <w:szCs w:val="20"/>
              </w:rPr>
              <w:t>33</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国家自然科学基金专项基金项目/科学部主任基金 </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布鲁顿酪氨酸激酶(Btk)抑制剂对B细胞非霍奇金淋巴瘤的作用及机制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81241073</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2013.1-2013.12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朱军</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34</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国家自然科学基金国际(地区)合作与交流项目/多年期合作项目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胃癌变过程的表观遗传学特征（II）</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31261140372</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160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2012.8-2014.7</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邓大君</w:t>
            </w:r>
          </w:p>
        </w:tc>
      </w:tr>
      <w:tr w:rsidR="00046913" w:rsidRPr="008A6608" w:rsidTr="009C0288">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35</w:t>
            </w:r>
          </w:p>
        </w:tc>
        <w:tc>
          <w:tcPr>
            <w:tcW w:w="1574"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Pr>
                <w:rFonts w:ascii="宋体" w:hAnsi="宋体" w:cs="宋体" w:hint="eastAsia"/>
                <w:bCs/>
                <w:kern w:val="0"/>
              </w:rPr>
              <w:t>国家自然科学基金</w:t>
            </w:r>
          </w:p>
        </w:tc>
        <w:tc>
          <w:tcPr>
            <w:tcW w:w="2126"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sidRPr="00883DE2">
              <w:rPr>
                <w:rFonts w:hAnsi="ˎ̥,Verdana,Arial"/>
                <w:color w:val="000000"/>
              </w:rPr>
              <w:t>重编程产生</w:t>
            </w:r>
            <w:r w:rsidRPr="00883DE2">
              <w:rPr>
                <w:color w:val="000000"/>
              </w:rPr>
              <w:t>Claudin-low/</w:t>
            </w:r>
            <w:r w:rsidRPr="00883DE2">
              <w:rPr>
                <w:rFonts w:hAnsi="ˎ̥,Verdana,Arial"/>
                <w:color w:val="000000"/>
              </w:rPr>
              <w:t>三阴乳腺癌干细胞：乳腺癌可塑性的分子机制及转化医学意义</w:t>
            </w:r>
          </w:p>
        </w:tc>
        <w:tc>
          <w:tcPr>
            <w:tcW w:w="1701"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sidRPr="00883DE2">
              <w:t>81230051</w:t>
            </w:r>
          </w:p>
        </w:tc>
        <w:tc>
          <w:tcPr>
            <w:tcW w:w="851" w:type="dxa"/>
            <w:tcBorders>
              <w:top w:val="nil"/>
              <w:left w:val="nil"/>
              <w:bottom w:val="single" w:sz="4" w:space="0" w:color="auto"/>
              <w:right w:val="single" w:sz="4" w:space="0" w:color="auto"/>
            </w:tcBorders>
            <w:shd w:val="clear" w:color="auto" w:fill="auto"/>
            <w:vAlign w:val="bottom"/>
            <w:hideMark/>
          </w:tcPr>
          <w:p w:rsidR="00046913" w:rsidRPr="00D515BE" w:rsidRDefault="00046913" w:rsidP="00046913">
            <w:pPr>
              <w:widowControl/>
              <w:rPr>
                <w:rFonts w:ascii="宋体" w:hAnsi="宋体" w:cs="宋体"/>
                <w:bCs/>
                <w:kern w:val="0"/>
              </w:rPr>
            </w:pPr>
            <w:r>
              <w:rPr>
                <w:rFonts w:ascii="宋体" w:hAnsi="宋体" w:cs="宋体" w:hint="eastAsia"/>
                <w:bCs/>
                <w:kern w:val="0"/>
              </w:rPr>
              <w:t>290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D515BE" w:rsidRDefault="00046913" w:rsidP="00046913">
            <w:pPr>
              <w:widowControl/>
              <w:jc w:val="left"/>
              <w:rPr>
                <w:rFonts w:ascii="宋体" w:hAnsi="宋体" w:cs="宋体"/>
                <w:bCs/>
                <w:kern w:val="0"/>
              </w:rPr>
            </w:pPr>
            <w:r w:rsidRPr="00883DE2">
              <w:rPr>
                <w:color w:val="000000"/>
              </w:rPr>
              <w:t>2013-1 - 2017-12</w:t>
            </w:r>
          </w:p>
        </w:tc>
        <w:tc>
          <w:tcPr>
            <w:tcW w:w="850" w:type="dxa"/>
            <w:tcBorders>
              <w:top w:val="nil"/>
              <w:left w:val="nil"/>
              <w:bottom w:val="single" w:sz="4" w:space="0" w:color="auto"/>
              <w:right w:val="single" w:sz="4" w:space="0" w:color="auto"/>
            </w:tcBorders>
            <w:shd w:val="clear" w:color="auto" w:fill="auto"/>
            <w:vAlign w:val="center"/>
            <w:hideMark/>
          </w:tcPr>
          <w:p w:rsidR="00046913" w:rsidRPr="00D515BE" w:rsidRDefault="00046913" w:rsidP="00B12089">
            <w:pPr>
              <w:widowControl/>
              <w:jc w:val="left"/>
              <w:rPr>
                <w:rFonts w:ascii="宋体" w:hAnsi="宋体" w:cs="宋体"/>
                <w:bCs/>
                <w:kern w:val="0"/>
              </w:rPr>
            </w:pPr>
            <w:r>
              <w:rPr>
                <w:rFonts w:ascii="宋体" w:hAnsi="宋体" w:cs="宋体" w:hint="eastAsia"/>
                <w:bCs/>
                <w:kern w:val="0"/>
              </w:rPr>
              <w:t>张宏权</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36</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国家自然科学基金国际(地区)合作与交流项目/多年期合作项目子课题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胃癌变过程的表观遗传学特征（II）</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31261140372</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2012.8-2014.7</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游伟程</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37</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国家自然科学基金面上项目子课题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一个核蛋白稳定p53的分子机制研究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81171877</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19.5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邢宝才</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38</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国家自然科学基金面上项目子课题</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探寻抑制肾癌生长的SPOP 拮抗剂</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81101940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4.6</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2012.5-2014.12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李向红</w:t>
            </w:r>
          </w:p>
        </w:tc>
      </w:tr>
      <w:tr w:rsidR="00046913" w:rsidRPr="008A6608" w:rsidTr="003C656E">
        <w:trPr>
          <w:trHeight w:val="50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39</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北京市自然科学基金重点项目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肿瘤相关胞外抗原</w:t>
            </w:r>
            <w:r w:rsidRPr="008A6608">
              <w:rPr>
                <w:kern w:val="0"/>
                <w:sz w:val="20"/>
                <w:szCs w:val="20"/>
              </w:rPr>
              <w:t>IGFBP-2</w:t>
            </w:r>
            <w:r w:rsidRPr="008A6608">
              <w:rPr>
                <w:rFonts w:ascii="宋体" w:hAnsi="宋体" w:cs="宋体" w:hint="eastAsia"/>
                <w:kern w:val="0"/>
                <w:sz w:val="20"/>
                <w:szCs w:val="20"/>
              </w:rPr>
              <w:t>诱导抗肿瘤免疫抑制及机制研究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7131004</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65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2013.1-2016.12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宋韦</w:t>
            </w:r>
          </w:p>
        </w:tc>
      </w:tr>
      <w:tr w:rsidR="00046913" w:rsidRPr="008A6608" w:rsidTr="003C656E">
        <w:trPr>
          <w:trHeight w:val="74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40</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放射性核素及近红外荧光染料双标记靶向探针在</w:t>
            </w:r>
            <w:r w:rsidRPr="008A6608">
              <w:rPr>
                <w:kern w:val="0"/>
                <w:sz w:val="20"/>
                <w:szCs w:val="20"/>
              </w:rPr>
              <w:t>HER2</w:t>
            </w:r>
            <w:r w:rsidRPr="008A6608">
              <w:rPr>
                <w:rFonts w:ascii="宋体" w:hAnsi="宋体" w:cs="宋体" w:hint="eastAsia"/>
                <w:kern w:val="0"/>
                <w:sz w:val="20"/>
                <w:szCs w:val="20"/>
              </w:rPr>
              <w:t>阳性恶性肿瘤中临床前应用研究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7132037</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王雪鹃</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41</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磁共振扩散加权成像非高斯模型评价胃癌新辅助化疗疗效</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7132039</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唐磊</w:t>
            </w:r>
          </w:p>
        </w:tc>
      </w:tr>
      <w:tr w:rsidR="00046913" w:rsidRPr="008A6608" w:rsidTr="003C656E">
        <w:trPr>
          <w:trHeight w:val="768"/>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42</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双模态肿瘤靶向纳米探针</w:t>
            </w:r>
            <w:r w:rsidRPr="008A6608">
              <w:rPr>
                <w:kern w:val="0"/>
                <w:sz w:val="20"/>
                <w:szCs w:val="20"/>
              </w:rPr>
              <w:t xml:space="preserve"> PA-NIRF-CCPM-DG</w:t>
            </w:r>
            <w:r w:rsidRPr="008A6608">
              <w:rPr>
                <w:rFonts w:ascii="宋体" w:hAnsi="宋体" w:cs="宋体" w:hint="eastAsia"/>
                <w:kern w:val="0"/>
                <w:sz w:val="20"/>
                <w:szCs w:val="20"/>
              </w:rPr>
              <w:t>的分子显像研究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7132040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杨志</w:t>
            </w:r>
          </w:p>
        </w:tc>
      </w:tr>
      <w:tr w:rsidR="00046913" w:rsidRPr="008A6608" w:rsidTr="003C656E">
        <w:trPr>
          <w:trHeight w:val="74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lastRenderedPageBreak/>
              <w:t>43</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膜表面表达蛋白酶</w:t>
            </w:r>
            <w:r w:rsidRPr="008A6608">
              <w:rPr>
                <w:kern w:val="0"/>
                <w:sz w:val="20"/>
                <w:szCs w:val="20"/>
              </w:rPr>
              <w:t>(Seprase)</w:t>
            </w:r>
            <w:r w:rsidRPr="008A6608">
              <w:rPr>
                <w:rFonts w:ascii="宋体" w:hAnsi="宋体" w:cs="宋体" w:hint="eastAsia"/>
                <w:kern w:val="0"/>
                <w:sz w:val="20"/>
                <w:szCs w:val="20"/>
              </w:rPr>
              <w:t>调控肿瘤细胞迁移信号传导通路的研究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7132048</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贾军</w:t>
            </w:r>
          </w:p>
        </w:tc>
      </w:tr>
      <w:tr w:rsidR="00046913" w:rsidRPr="008A6608" w:rsidTr="003C656E">
        <w:trPr>
          <w:trHeight w:val="74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44</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布鲁顿酪氨酸激酶</w:t>
            </w:r>
            <w:r w:rsidRPr="008A6608">
              <w:rPr>
                <w:kern w:val="0"/>
                <w:sz w:val="20"/>
                <w:szCs w:val="20"/>
              </w:rPr>
              <w:t>(Btk)</w:t>
            </w:r>
            <w:r w:rsidRPr="008A6608">
              <w:rPr>
                <w:rFonts w:ascii="宋体" w:hAnsi="宋体" w:cs="宋体" w:hint="eastAsia"/>
                <w:kern w:val="0"/>
                <w:sz w:val="20"/>
                <w:szCs w:val="20"/>
              </w:rPr>
              <w:t>在肿瘤相关巨噬细胞诱导淋巴瘤恶性增殖中的作用及机制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7132050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丁宁</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45</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ISL1在肝癌复发中的作用及其分子机制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7132051</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郭婷</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46</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AZGP1在结直肠癌复发转移中的作用及机制研究</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7132052</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顾晋</w:t>
            </w:r>
          </w:p>
        </w:tc>
      </w:tr>
      <w:tr w:rsidR="00046913" w:rsidRPr="008A6608" w:rsidTr="003C656E">
        <w:trPr>
          <w:trHeight w:val="74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47</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北京市自然科学基金面上项目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西妥昔单抗、帕尼单抗识别的</w:t>
            </w:r>
            <w:r w:rsidRPr="008A6608">
              <w:rPr>
                <w:kern w:val="0"/>
                <w:sz w:val="20"/>
                <w:szCs w:val="20"/>
              </w:rPr>
              <w:t>EGFR</w:t>
            </w:r>
            <w:r w:rsidRPr="008A6608">
              <w:rPr>
                <w:rFonts w:ascii="宋体" w:hAnsi="宋体" w:cs="宋体" w:hint="eastAsia"/>
                <w:kern w:val="0"/>
                <w:sz w:val="20"/>
                <w:szCs w:val="20"/>
              </w:rPr>
              <w:t>模拟表位肽的筛选及其活性鉴定</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7132054</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姜北海</w:t>
            </w:r>
          </w:p>
        </w:tc>
      </w:tr>
      <w:tr w:rsidR="00046913" w:rsidRPr="008A6608" w:rsidTr="003C656E">
        <w:trPr>
          <w:trHeight w:val="504"/>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48</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北京市自然科学基金预探索项目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胃癌转移标志物</w:t>
            </w:r>
            <w:r w:rsidRPr="008A6608">
              <w:rPr>
                <w:kern w:val="0"/>
                <w:sz w:val="20"/>
                <w:szCs w:val="20"/>
              </w:rPr>
              <w:t>SRF CpG</w:t>
            </w:r>
            <w:r w:rsidRPr="008A6608">
              <w:rPr>
                <w:rFonts w:ascii="宋体" w:hAnsi="宋体" w:cs="宋体" w:hint="eastAsia"/>
                <w:kern w:val="0"/>
                <w:sz w:val="20"/>
                <w:szCs w:val="20"/>
              </w:rPr>
              <w:t>位点甲基化规律及促进转移的作用</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7133230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2013.1-2014.6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刘兆君</w:t>
            </w:r>
          </w:p>
        </w:tc>
      </w:tr>
      <w:tr w:rsidR="00046913" w:rsidRPr="008A6608" w:rsidTr="003C656E">
        <w:trPr>
          <w:trHeight w:val="768"/>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49</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北京市自然科学基金预探索项目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在中国人群中检测</w:t>
            </w:r>
            <w:r w:rsidRPr="008A6608">
              <w:rPr>
                <w:kern w:val="0"/>
                <w:sz w:val="20"/>
                <w:szCs w:val="20"/>
              </w:rPr>
              <w:t>SEPT9</w:t>
            </w:r>
            <w:r w:rsidRPr="008A6608">
              <w:rPr>
                <w:rFonts w:ascii="宋体" w:hAnsi="宋体" w:cs="宋体" w:hint="eastAsia"/>
                <w:kern w:val="0"/>
                <w:sz w:val="20"/>
                <w:szCs w:val="20"/>
              </w:rPr>
              <w:t>和</w:t>
            </w:r>
            <w:r w:rsidRPr="008A6608">
              <w:rPr>
                <w:kern w:val="0"/>
                <w:sz w:val="20"/>
                <w:szCs w:val="20"/>
              </w:rPr>
              <w:t>OSMR</w:t>
            </w:r>
            <w:r w:rsidRPr="008A6608">
              <w:rPr>
                <w:rFonts w:ascii="宋体" w:hAnsi="宋体" w:cs="宋体" w:hint="eastAsia"/>
                <w:kern w:val="0"/>
                <w:sz w:val="20"/>
                <w:szCs w:val="20"/>
              </w:rPr>
              <w:t>基因甲基化在结直肠癌中的诊断价值</w:t>
            </w:r>
            <w:r w:rsidRPr="008A6608">
              <w:rPr>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7133231</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2013.1-2014.6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程晓静</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50</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北京市科委特色项目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结直肠癌肝转移个体化靶向治疗模式的探索</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Z121107001012083</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2012.7-2015.6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郝纯毅</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51</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北京市科委特色项目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进展期胃癌腹腔镜根治术的安全性评估与远期疗效建模分析</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Z121107001012130</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2012.7-2015.6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苏向前</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52</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北京市科委特色项目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磁共振扩散成像体部恶性肿瘤疗效评价应用研究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Z121107001012115</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2012.7-2015.6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张晓鹏</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53</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北京市科委特色项目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集体心理干预在结直肠癌患者康复治疗中的对照研究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Z121107001012037</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2012.7-2015.6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唐丽丽</w:t>
            </w:r>
          </w:p>
        </w:tc>
      </w:tr>
      <w:tr w:rsidR="00046913" w:rsidRPr="008A6608" w:rsidTr="003C656E">
        <w:trPr>
          <w:trHeight w:val="96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54</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北京市科委检验专项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建立抗Survivin单抗-酶联免疫技术通过尿液筛查膀胱癌的新途径研究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Z121107005112004</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2012.7-2015.6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张青云</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55</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分子标志谱在肺癌诊断、预后判断中的应用转化研究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Z111107067311018</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2011.9-2014.8</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杨跃</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lastRenderedPageBreak/>
              <w:t>56</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北京市卫生局科技成果和适宜技术推广项目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原发性乳腺癌的腋窝淋巴结状态诊断路径的推广应用</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欧阳涛</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57</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北京市科委首都市民健康项目</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进展期胃癌综合治疗的基础与临床研究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210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2013.1-2015.12</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季加孚</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58</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超声弹性成像在甲状腺小结节早期诊断及引导不均质结节靶向穿刺的应用</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首发2011-2015-01</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9.14</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杨薇</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59</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磁共振扩散成像量化分析直肠癌术前放化疗疗效</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首发2011-2015-02</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35.468</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孙应实</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03436F" w:rsidRDefault="00046913" w:rsidP="00F01ABC">
            <w:pPr>
              <w:widowControl/>
              <w:jc w:val="left"/>
              <w:rPr>
                <w:rFonts w:ascii="宋体" w:hAnsi="宋体" w:cs="宋体"/>
                <w:kern w:val="0"/>
                <w:sz w:val="20"/>
                <w:szCs w:val="20"/>
              </w:rPr>
            </w:pPr>
            <w:r w:rsidRPr="0003436F">
              <w:rPr>
                <w:rFonts w:ascii="宋体" w:hAnsi="宋体" w:cs="宋体" w:hint="eastAsia"/>
                <w:kern w:val="0"/>
                <w:sz w:val="20"/>
                <w:szCs w:val="20"/>
              </w:rPr>
              <w:t>60</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北京地区结直肠癌诊疗规范的普及应用</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首发2011-2015-03</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10.641</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顾晋</w:t>
            </w:r>
          </w:p>
        </w:tc>
      </w:tr>
      <w:tr w:rsidR="00046913" w:rsidRPr="008A6608"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03436F" w:rsidRDefault="00046913" w:rsidP="00F01ABC">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61</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超声造影对胆系良恶性病变鉴别诊断的应用研究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首发2011-2015-04</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32.42805</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吴薇</w:t>
            </w:r>
          </w:p>
        </w:tc>
      </w:tr>
      <w:tr w:rsidR="00046913"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F01ABC">
            <w:pPr>
              <w:widowControl/>
              <w:jc w:val="left"/>
              <w:rPr>
                <w:rFonts w:ascii="宋体" w:hAnsi="宋体" w:cs="宋体"/>
                <w:kern w:val="0"/>
                <w:sz w:val="20"/>
                <w:szCs w:val="20"/>
              </w:rPr>
            </w:pPr>
            <w:r w:rsidRPr="008A6608">
              <w:rPr>
                <w:rFonts w:ascii="宋体" w:hAnsi="宋体" w:cs="宋体" w:hint="eastAsia"/>
                <w:kern w:val="0"/>
                <w:sz w:val="20"/>
                <w:szCs w:val="20"/>
              </w:rPr>
              <w:t>62</w:t>
            </w:r>
          </w:p>
        </w:tc>
        <w:tc>
          <w:tcPr>
            <w:tcW w:w="1574"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利用新技术筛选胃癌新辅助治疗疗效靶标的小样本初步研究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首发2011-1009-1</w:t>
            </w:r>
          </w:p>
        </w:tc>
        <w:tc>
          <w:tcPr>
            <w:tcW w:w="85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李子禹</w:t>
            </w:r>
          </w:p>
        </w:tc>
      </w:tr>
      <w:tr w:rsidR="00046913" w:rsidRPr="0003436F" w:rsidTr="003C656E">
        <w:trPr>
          <w:trHeight w:val="48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Pr>
                <w:rFonts w:ascii="宋体" w:hAnsi="宋体" w:cs="宋体" w:hint="eastAsia"/>
                <w:color w:val="000000"/>
                <w:kern w:val="0"/>
                <w:sz w:val="20"/>
                <w:szCs w:val="20"/>
              </w:rPr>
              <w:t>63</w:t>
            </w:r>
          </w:p>
        </w:tc>
        <w:tc>
          <w:tcPr>
            <w:tcW w:w="1574"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胃癌转移标志物SRF CpG岛的甲基化规律</w:t>
            </w:r>
          </w:p>
        </w:tc>
        <w:tc>
          <w:tcPr>
            <w:tcW w:w="170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首发2011-1009-2</w:t>
            </w:r>
          </w:p>
        </w:tc>
        <w:tc>
          <w:tcPr>
            <w:tcW w:w="851"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kern w:val="0"/>
                <w:sz w:val="20"/>
                <w:szCs w:val="20"/>
              </w:rPr>
            </w:pPr>
            <w:r w:rsidRPr="0003436F">
              <w:rPr>
                <w:rFonts w:ascii="宋体" w:hAnsi="宋体" w:cs="宋体" w:hint="eastAsia"/>
                <w:kern w:val="0"/>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w:t>
            </w:r>
            <w:r>
              <w:rPr>
                <w:rFonts w:ascii="宋体" w:hAnsi="宋体" w:cs="宋体" w:hint="eastAsia"/>
                <w:kern w:val="0"/>
                <w:sz w:val="20"/>
                <w:szCs w:val="20"/>
              </w:rPr>
              <w:t>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03436F" w:rsidRDefault="00046913" w:rsidP="003C656E">
            <w:pPr>
              <w:widowControl/>
              <w:jc w:val="left"/>
              <w:rPr>
                <w:rFonts w:ascii="宋体" w:hAnsi="宋体" w:cs="宋体"/>
                <w:color w:val="000000"/>
                <w:kern w:val="0"/>
                <w:sz w:val="20"/>
                <w:szCs w:val="20"/>
              </w:rPr>
            </w:pPr>
            <w:r w:rsidRPr="0003436F">
              <w:rPr>
                <w:rFonts w:ascii="宋体" w:hAnsi="宋体" w:cs="宋体" w:hint="eastAsia"/>
                <w:color w:val="000000"/>
                <w:kern w:val="0"/>
                <w:sz w:val="20"/>
                <w:szCs w:val="20"/>
              </w:rPr>
              <w:t>邓大君</w:t>
            </w:r>
          </w:p>
        </w:tc>
      </w:tr>
      <w:tr w:rsidR="00046913" w:rsidRPr="008A6608" w:rsidTr="003C656E">
        <w:trPr>
          <w:trHeight w:val="72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Pr>
                <w:rFonts w:ascii="宋体" w:hAnsi="宋体" w:cs="宋体" w:hint="eastAsia"/>
                <w:kern w:val="0"/>
                <w:sz w:val="20"/>
                <w:szCs w:val="20"/>
              </w:rPr>
              <w:t>64</w:t>
            </w:r>
          </w:p>
        </w:tc>
        <w:tc>
          <w:tcPr>
            <w:tcW w:w="1574"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北京市卫生局首都卫生发展科研专项</w:t>
            </w:r>
          </w:p>
        </w:tc>
        <w:tc>
          <w:tcPr>
            <w:tcW w:w="2126"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抗Survivin胶体金及ELISA技术检测食管癌患者血液及尿液含量的研究</w:t>
            </w:r>
          </w:p>
        </w:tc>
        <w:tc>
          <w:tcPr>
            <w:tcW w:w="170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首发2011-1009-3</w:t>
            </w:r>
          </w:p>
        </w:tc>
        <w:tc>
          <w:tcPr>
            <w:tcW w:w="851"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 xml:space="preserve">　2012.6-2015.6</w:t>
            </w:r>
          </w:p>
        </w:tc>
        <w:tc>
          <w:tcPr>
            <w:tcW w:w="850" w:type="dxa"/>
            <w:tcBorders>
              <w:top w:val="nil"/>
              <w:left w:val="nil"/>
              <w:bottom w:val="single" w:sz="4" w:space="0" w:color="auto"/>
              <w:right w:val="single" w:sz="4" w:space="0" w:color="auto"/>
            </w:tcBorders>
            <w:shd w:val="clear" w:color="auto" w:fill="auto"/>
            <w:vAlign w:val="bottom"/>
            <w:hideMark/>
          </w:tcPr>
          <w:p w:rsidR="00046913" w:rsidRPr="008A6608" w:rsidRDefault="00046913" w:rsidP="003C656E">
            <w:pPr>
              <w:widowControl/>
              <w:jc w:val="left"/>
              <w:rPr>
                <w:rFonts w:ascii="宋体" w:hAnsi="宋体" w:cs="宋体"/>
                <w:kern w:val="0"/>
                <w:sz w:val="20"/>
                <w:szCs w:val="20"/>
              </w:rPr>
            </w:pPr>
            <w:r w:rsidRPr="008A6608">
              <w:rPr>
                <w:rFonts w:ascii="宋体" w:hAnsi="宋体" w:cs="宋体" w:hint="eastAsia"/>
                <w:kern w:val="0"/>
                <w:sz w:val="20"/>
                <w:szCs w:val="20"/>
              </w:rPr>
              <w:t>张青云</w:t>
            </w:r>
          </w:p>
        </w:tc>
      </w:tr>
    </w:tbl>
    <w:p w:rsidR="003C656E" w:rsidRPr="00A34088" w:rsidRDefault="003C656E" w:rsidP="003C656E">
      <w:pPr>
        <w:rPr>
          <w:rFonts w:ascii="仿宋_GB2312" w:eastAsia="仿宋_GB2312"/>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本年度获奖情况（其中：国家级奖，省部级奖）</w:t>
      </w:r>
    </w:p>
    <w:p w:rsidR="003C656E" w:rsidRDefault="003C656E" w:rsidP="003C656E">
      <w:pPr>
        <w:rPr>
          <w:rFonts w:ascii="仿宋_GB2312" w:eastAsia="仿宋_GB2312"/>
          <w:sz w:val="24"/>
          <w:szCs w:val="30"/>
        </w:rPr>
      </w:pPr>
    </w:p>
    <w:tbl>
      <w:tblPr>
        <w:tblW w:w="9226" w:type="dxa"/>
        <w:tblInd w:w="96" w:type="dxa"/>
        <w:tblLook w:val="04A0"/>
      </w:tblPr>
      <w:tblGrid>
        <w:gridCol w:w="3860"/>
        <w:gridCol w:w="960"/>
        <w:gridCol w:w="2280"/>
        <w:gridCol w:w="992"/>
        <w:gridCol w:w="1134"/>
      </w:tblGrid>
      <w:tr w:rsidR="003C656E" w:rsidRPr="003C656E" w:rsidTr="00857560">
        <w:trPr>
          <w:trHeight w:val="288"/>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项目名称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年度</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奖项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等级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完成人</w:t>
            </w:r>
          </w:p>
        </w:tc>
      </w:tr>
      <w:tr w:rsidR="003C656E" w:rsidRPr="003C656E" w:rsidTr="00857560">
        <w:trPr>
          <w:trHeight w:val="801"/>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Arial" w:hAnsi="Arial" w:cs="Arial"/>
                <w:color w:val="000000"/>
                <w:kern w:val="0"/>
                <w:szCs w:val="21"/>
              </w:rPr>
            </w:pPr>
            <w:r w:rsidRPr="00857560">
              <w:rPr>
                <w:rFonts w:ascii="Arial" w:hAnsi="Arial" w:cs="Arial"/>
                <w:color w:val="000000"/>
                <w:kern w:val="0"/>
                <w:szCs w:val="21"/>
              </w:rPr>
              <w:t>进展期胃癌围手术期综合治疗的基础与临床研究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华夏医学科技奖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二等奖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季加孚</w:t>
            </w:r>
          </w:p>
        </w:tc>
      </w:tr>
      <w:tr w:rsidR="003C656E" w:rsidRPr="003C656E" w:rsidTr="00857560">
        <w:trPr>
          <w:trHeight w:val="801"/>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进展期胃癌围手术期综合治疗的基础与临床研究</w:t>
            </w:r>
          </w:p>
        </w:tc>
        <w:tc>
          <w:tcPr>
            <w:tcW w:w="960"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北京市科学技术奖</w:t>
            </w:r>
          </w:p>
        </w:tc>
        <w:tc>
          <w:tcPr>
            <w:tcW w:w="992"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三等奖</w:t>
            </w:r>
          </w:p>
        </w:tc>
        <w:tc>
          <w:tcPr>
            <w:tcW w:w="1134"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季加孚</w:t>
            </w:r>
          </w:p>
        </w:tc>
      </w:tr>
      <w:tr w:rsidR="003C656E" w:rsidRPr="003C656E" w:rsidTr="00857560">
        <w:trPr>
          <w:trHeight w:val="801"/>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lastRenderedPageBreak/>
              <w:t>乳腺癌内分泌治疗不良反应的中药干预效果与机理研究</w:t>
            </w:r>
          </w:p>
        </w:tc>
        <w:tc>
          <w:tcPr>
            <w:tcW w:w="960"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高等学校科学研究优秀成果奖（科学技术）</w:t>
            </w:r>
          </w:p>
        </w:tc>
        <w:tc>
          <w:tcPr>
            <w:tcW w:w="992"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color w:val="000000"/>
                <w:kern w:val="0"/>
                <w:szCs w:val="21"/>
              </w:rPr>
            </w:pPr>
            <w:r w:rsidRPr="00857560">
              <w:rPr>
                <w:rFonts w:ascii="宋体" w:hAnsi="宋体" w:cs="宋体" w:hint="eastAsia"/>
                <w:color w:val="000000"/>
                <w:kern w:val="0"/>
                <w:szCs w:val="21"/>
              </w:rPr>
              <w:t>李萍萍</w:t>
            </w:r>
          </w:p>
        </w:tc>
      </w:tr>
      <w:tr w:rsidR="003C656E" w:rsidRPr="003C656E" w:rsidTr="00857560">
        <w:trPr>
          <w:trHeight w:val="801"/>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脑胶质瘤诊疗技术创新的基础研究与临床应用</w:t>
            </w:r>
          </w:p>
        </w:tc>
        <w:tc>
          <w:tcPr>
            <w:tcW w:w="960"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高等学校科学研究优秀成果奖（科学技术）</w:t>
            </w:r>
          </w:p>
        </w:tc>
        <w:tc>
          <w:tcPr>
            <w:tcW w:w="992"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一等奖</w:t>
            </w:r>
          </w:p>
        </w:tc>
        <w:tc>
          <w:tcPr>
            <w:tcW w:w="1134"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color w:val="000000"/>
                <w:kern w:val="0"/>
                <w:szCs w:val="21"/>
              </w:rPr>
            </w:pPr>
            <w:r w:rsidRPr="00857560">
              <w:rPr>
                <w:rFonts w:ascii="宋体" w:hAnsi="宋体" w:cs="宋体" w:hint="eastAsia"/>
                <w:color w:val="000000"/>
                <w:kern w:val="0"/>
                <w:szCs w:val="21"/>
              </w:rPr>
              <w:t>宋韦为第二完成人</w:t>
            </w:r>
          </w:p>
        </w:tc>
      </w:tr>
      <w:tr w:rsidR="003C656E" w:rsidRPr="003C656E" w:rsidTr="00857560">
        <w:trPr>
          <w:trHeight w:val="801"/>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常见恶性肿瘤的综合影像学检查规范及优选指南的建立和临床应用</w:t>
            </w:r>
          </w:p>
        </w:tc>
        <w:tc>
          <w:tcPr>
            <w:tcW w:w="960"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北京市科学技术奖</w:t>
            </w:r>
          </w:p>
        </w:tc>
        <w:tc>
          <w:tcPr>
            <w:tcW w:w="992"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三等奖</w:t>
            </w:r>
          </w:p>
        </w:tc>
        <w:tc>
          <w:tcPr>
            <w:tcW w:w="1134"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color w:val="000000"/>
                <w:kern w:val="0"/>
                <w:szCs w:val="21"/>
              </w:rPr>
            </w:pPr>
            <w:r w:rsidRPr="00857560">
              <w:rPr>
                <w:rFonts w:ascii="宋体" w:hAnsi="宋体" w:cs="宋体" w:hint="eastAsia"/>
                <w:color w:val="000000"/>
                <w:kern w:val="0"/>
                <w:szCs w:val="21"/>
              </w:rPr>
              <w:t>我单位是第二完成单位</w:t>
            </w:r>
          </w:p>
        </w:tc>
      </w:tr>
      <w:tr w:rsidR="003C656E" w:rsidRPr="003C656E" w:rsidTr="00857560">
        <w:trPr>
          <w:trHeight w:val="801"/>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C656E" w:rsidRPr="00857560" w:rsidRDefault="003C656E" w:rsidP="003C656E">
            <w:pPr>
              <w:widowControl/>
              <w:jc w:val="left"/>
              <w:rPr>
                <w:rFonts w:ascii="宋体" w:hAnsi="宋体" w:cs="宋体"/>
                <w:color w:val="000000"/>
                <w:kern w:val="0"/>
                <w:szCs w:val="21"/>
              </w:rPr>
            </w:pPr>
            <w:r w:rsidRPr="00857560">
              <w:rPr>
                <w:rFonts w:ascii="宋体" w:hAnsi="宋体" w:cs="宋体" w:hint="eastAsia"/>
                <w:color w:val="000000"/>
                <w:kern w:val="0"/>
                <w:szCs w:val="21"/>
              </w:rPr>
              <w:t>肿瘤血管生成机制及其在抗血管生成治疗中的应用</w:t>
            </w:r>
          </w:p>
        </w:tc>
        <w:tc>
          <w:tcPr>
            <w:tcW w:w="960"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2012年</w:t>
            </w:r>
          </w:p>
        </w:tc>
        <w:tc>
          <w:tcPr>
            <w:tcW w:w="2280"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kern w:val="0"/>
                <w:szCs w:val="21"/>
              </w:rPr>
            </w:pPr>
            <w:r w:rsidRPr="00857560">
              <w:rPr>
                <w:rFonts w:ascii="宋体" w:hAnsi="宋体" w:cs="宋体" w:hint="eastAsia"/>
                <w:kern w:val="0"/>
                <w:szCs w:val="21"/>
              </w:rPr>
              <w:t>国家科学技术进步奖</w:t>
            </w:r>
          </w:p>
        </w:tc>
        <w:tc>
          <w:tcPr>
            <w:tcW w:w="992" w:type="dxa"/>
            <w:tcBorders>
              <w:top w:val="nil"/>
              <w:left w:val="nil"/>
              <w:bottom w:val="single" w:sz="4" w:space="0" w:color="auto"/>
              <w:right w:val="single" w:sz="4" w:space="0" w:color="auto"/>
            </w:tcBorders>
            <w:shd w:val="clear" w:color="auto" w:fill="auto"/>
            <w:noWrap/>
            <w:vAlign w:val="center"/>
            <w:hideMark/>
          </w:tcPr>
          <w:p w:rsidR="003C656E" w:rsidRPr="00857560" w:rsidRDefault="003C656E" w:rsidP="003C656E">
            <w:pPr>
              <w:widowControl/>
              <w:jc w:val="center"/>
              <w:rPr>
                <w:rFonts w:ascii="宋体" w:hAnsi="宋体" w:cs="宋体"/>
                <w:kern w:val="0"/>
                <w:szCs w:val="21"/>
              </w:rPr>
            </w:pPr>
            <w:r w:rsidRPr="00857560">
              <w:rPr>
                <w:rFonts w:ascii="宋体" w:hAnsi="宋体" w:cs="宋体" w:hint="eastAsia"/>
                <w:kern w:val="0"/>
                <w:szCs w:val="21"/>
              </w:rPr>
              <w:t>一等奖</w:t>
            </w:r>
          </w:p>
        </w:tc>
        <w:tc>
          <w:tcPr>
            <w:tcW w:w="1134" w:type="dxa"/>
            <w:tcBorders>
              <w:top w:val="nil"/>
              <w:left w:val="nil"/>
              <w:bottom w:val="single" w:sz="4" w:space="0" w:color="auto"/>
              <w:right w:val="single" w:sz="4" w:space="0" w:color="auto"/>
            </w:tcBorders>
            <w:shd w:val="clear" w:color="auto" w:fill="auto"/>
            <w:vAlign w:val="center"/>
            <w:hideMark/>
          </w:tcPr>
          <w:p w:rsidR="003C656E" w:rsidRPr="00857560" w:rsidRDefault="003C656E" w:rsidP="003C656E">
            <w:pPr>
              <w:widowControl/>
              <w:jc w:val="left"/>
              <w:rPr>
                <w:rFonts w:ascii="宋体" w:hAnsi="宋体" w:cs="宋体"/>
                <w:color w:val="000000"/>
                <w:kern w:val="0"/>
                <w:szCs w:val="21"/>
              </w:rPr>
            </w:pPr>
            <w:r w:rsidRPr="00857560">
              <w:rPr>
                <w:rFonts w:ascii="宋体" w:hAnsi="宋体" w:cs="宋体" w:hint="eastAsia"/>
                <w:color w:val="000000"/>
                <w:kern w:val="0"/>
                <w:szCs w:val="21"/>
              </w:rPr>
              <w:t>寿成超第三完成人</w:t>
            </w:r>
            <w:r w:rsidR="0035352F">
              <w:rPr>
                <w:rFonts w:ascii="宋体" w:hAnsi="宋体" w:cs="宋体" w:hint="eastAsia"/>
                <w:color w:val="000000"/>
                <w:kern w:val="0"/>
                <w:szCs w:val="21"/>
              </w:rPr>
              <w:t>方伟岗第八完成人</w:t>
            </w:r>
          </w:p>
        </w:tc>
      </w:tr>
    </w:tbl>
    <w:p w:rsidR="003C656E" w:rsidRPr="003C656E" w:rsidRDefault="003C656E" w:rsidP="003C656E">
      <w:pPr>
        <w:rPr>
          <w:rFonts w:ascii="仿宋_GB2312" w:eastAsia="仿宋_GB2312"/>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本年度发表论文数（其中：SCI,EI论文数）</w:t>
      </w:r>
    </w:p>
    <w:p w:rsidR="00104062" w:rsidRDefault="00104062" w:rsidP="00104062">
      <w:pPr>
        <w:spacing w:before="156"/>
        <w:ind w:firstLineChars="200" w:firstLine="420"/>
        <w:rPr>
          <w:rFonts w:ascii="宋体" w:hAnsi="宋体" w:cs="宋体"/>
          <w:color w:val="101010"/>
          <w:kern w:val="0"/>
          <w:szCs w:val="21"/>
        </w:rPr>
      </w:pPr>
      <w:r>
        <w:rPr>
          <w:rFonts w:ascii="宋体" w:hAnsi="宋体" w:cs="宋体" w:hint="eastAsia"/>
          <w:color w:val="101010"/>
          <w:kern w:val="0"/>
          <w:szCs w:val="21"/>
        </w:rPr>
        <w:t>本年度发表标注重点实验室论文</w:t>
      </w:r>
      <w:r w:rsidR="0045192E">
        <w:rPr>
          <w:rFonts w:ascii="宋体" w:hAnsi="宋体" w:cs="宋体" w:hint="eastAsia"/>
          <w:color w:val="101010"/>
          <w:kern w:val="0"/>
          <w:szCs w:val="21"/>
        </w:rPr>
        <w:t>共</w:t>
      </w:r>
      <w:r>
        <w:rPr>
          <w:rFonts w:ascii="宋体" w:hAnsi="宋体" w:cs="宋体" w:hint="eastAsia"/>
          <w:color w:val="101010"/>
          <w:kern w:val="0"/>
          <w:szCs w:val="21"/>
        </w:rPr>
        <w:t>233篇，其中SCI论文101篇，总影响因子</w:t>
      </w:r>
      <w:r w:rsidR="0045192E">
        <w:rPr>
          <w:rFonts w:ascii="宋体" w:hAnsi="宋体" w:cs="宋体" w:hint="eastAsia"/>
          <w:color w:val="101010"/>
          <w:kern w:val="0"/>
          <w:szCs w:val="21"/>
        </w:rPr>
        <w:t>310.243，IF≥3的论文</w:t>
      </w:r>
      <w:r w:rsidR="000520C4">
        <w:rPr>
          <w:rFonts w:ascii="宋体" w:hAnsi="宋体" w:cs="宋体" w:hint="eastAsia"/>
          <w:color w:val="101010"/>
          <w:kern w:val="0"/>
          <w:szCs w:val="21"/>
        </w:rPr>
        <w:t>39</w:t>
      </w:r>
      <w:r w:rsidR="0045192E">
        <w:rPr>
          <w:rFonts w:ascii="宋体" w:hAnsi="宋体" w:cs="宋体" w:hint="eastAsia"/>
          <w:color w:val="101010"/>
          <w:kern w:val="0"/>
          <w:szCs w:val="21"/>
        </w:rPr>
        <w:t>篇，≥5的论文1</w:t>
      </w:r>
      <w:r w:rsidR="000520C4">
        <w:rPr>
          <w:rFonts w:ascii="宋体" w:hAnsi="宋体" w:cs="宋体" w:hint="eastAsia"/>
          <w:color w:val="101010"/>
          <w:kern w:val="0"/>
          <w:szCs w:val="21"/>
        </w:rPr>
        <w:t>5</w:t>
      </w:r>
      <w:r w:rsidR="0045192E">
        <w:rPr>
          <w:rFonts w:ascii="宋体" w:hAnsi="宋体" w:cs="宋体" w:hint="eastAsia"/>
          <w:color w:val="101010"/>
          <w:kern w:val="0"/>
          <w:szCs w:val="21"/>
        </w:rPr>
        <w:t>篇。</w:t>
      </w:r>
    </w:p>
    <w:p w:rsidR="0045192E" w:rsidRPr="0045192E" w:rsidRDefault="0045192E" w:rsidP="0045192E">
      <w:pPr>
        <w:spacing w:before="156"/>
        <w:ind w:firstLineChars="200" w:firstLine="422"/>
        <w:jc w:val="center"/>
        <w:rPr>
          <w:rFonts w:ascii="宋体" w:hAnsi="宋体" w:cs="宋体"/>
          <w:b/>
          <w:color w:val="101010"/>
          <w:kern w:val="0"/>
          <w:szCs w:val="21"/>
        </w:rPr>
      </w:pPr>
      <w:r w:rsidRPr="0045192E">
        <w:rPr>
          <w:rFonts w:ascii="宋体" w:hAnsi="宋体" w:cs="宋体" w:hint="eastAsia"/>
          <w:b/>
          <w:color w:val="101010"/>
          <w:kern w:val="0"/>
          <w:szCs w:val="21"/>
        </w:rPr>
        <w:t>发表IF≥3的论文</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417"/>
        <w:gridCol w:w="1276"/>
        <w:gridCol w:w="992"/>
        <w:gridCol w:w="992"/>
        <w:gridCol w:w="993"/>
      </w:tblGrid>
      <w:tr w:rsidR="00C70B20" w:rsidRPr="00C70B20" w:rsidTr="00703B1E">
        <w:trPr>
          <w:trHeight w:val="624"/>
        </w:trPr>
        <w:tc>
          <w:tcPr>
            <w:tcW w:w="567" w:type="dxa"/>
            <w:vAlign w:val="center"/>
          </w:tcPr>
          <w:p w:rsidR="00C70B20" w:rsidRPr="00703B1E" w:rsidRDefault="00C70B20" w:rsidP="00C70B20">
            <w:pPr>
              <w:widowControl/>
              <w:jc w:val="center"/>
              <w:rPr>
                <w:rFonts w:ascii="宋体" w:hAnsi="宋体" w:cs="宋体"/>
                <w:kern w:val="0"/>
                <w:szCs w:val="21"/>
              </w:rPr>
            </w:pPr>
            <w:r w:rsidRPr="00703B1E">
              <w:rPr>
                <w:rFonts w:ascii="宋体" w:hAnsi="宋体" w:cs="宋体" w:hint="eastAsia"/>
                <w:kern w:val="0"/>
                <w:szCs w:val="21"/>
              </w:rPr>
              <w:t>序号</w:t>
            </w:r>
          </w:p>
        </w:tc>
        <w:tc>
          <w:tcPr>
            <w:tcW w:w="2694" w:type="dxa"/>
            <w:shd w:val="clear" w:color="auto" w:fill="auto"/>
            <w:vAlign w:val="center"/>
            <w:hideMark/>
          </w:tcPr>
          <w:p w:rsidR="00C70B20" w:rsidRPr="00703B1E" w:rsidRDefault="00C70B20" w:rsidP="00C70B20">
            <w:pPr>
              <w:widowControl/>
              <w:jc w:val="center"/>
              <w:rPr>
                <w:rFonts w:ascii="宋体" w:hAnsi="宋体" w:cs="宋体"/>
                <w:kern w:val="0"/>
                <w:szCs w:val="21"/>
              </w:rPr>
            </w:pPr>
            <w:r w:rsidRPr="00703B1E">
              <w:rPr>
                <w:rFonts w:ascii="宋体" w:hAnsi="宋体" w:cs="宋体" w:hint="eastAsia"/>
                <w:kern w:val="0"/>
                <w:szCs w:val="21"/>
              </w:rPr>
              <w:t>发表论文名称</w:t>
            </w:r>
          </w:p>
        </w:tc>
        <w:tc>
          <w:tcPr>
            <w:tcW w:w="1417" w:type="dxa"/>
            <w:shd w:val="clear" w:color="auto" w:fill="auto"/>
            <w:vAlign w:val="center"/>
            <w:hideMark/>
          </w:tcPr>
          <w:p w:rsidR="00C70B20" w:rsidRPr="00703B1E" w:rsidRDefault="00C70B20" w:rsidP="00C70B20">
            <w:pPr>
              <w:widowControl/>
              <w:jc w:val="center"/>
              <w:rPr>
                <w:kern w:val="0"/>
                <w:szCs w:val="21"/>
              </w:rPr>
            </w:pPr>
            <w:r w:rsidRPr="00703B1E">
              <w:rPr>
                <w:rFonts w:ascii="宋体" w:hAnsi="宋体" w:hint="eastAsia"/>
                <w:kern w:val="0"/>
                <w:szCs w:val="21"/>
              </w:rPr>
              <w:t>出版物、刊物</w:t>
            </w:r>
            <w:r w:rsidRPr="00703B1E">
              <w:rPr>
                <w:rFonts w:ascii="宋体" w:hAnsi="宋体" w:hint="eastAsia"/>
                <w:kern w:val="0"/>
                <w:szCs w:val="21"/>
              </w:rPr>
              <w:br/>
              <w:t>名称</w:t>
            </w:r>
          </w:p>
        </w:tc>
        <w:tc>
          <w:tcPr>
            <w:tcW w:w="1276" w:type="dxa"/>
            <w:shd w:val="clear" w:color="auto" w:fill="auto"/>
            <w:vAlign w:val="center"/>
            <w:hideMark/>
          </w:tcPr>
          <w:p w:rsidR="00C70B20" w:rsidRPr="00703B1E" w:rsidRDefault="00C70B20" w:rsidP="00C70B20">
            <w:pPr>
              <w:widowControl/>
              <w:jc w:val="center"/>
              <w:rPr>
                <w:kern w:val="0"/>
                <w:szCs w:val="21"/>
              </w:rPr>
            </w:pPr>
            <w:r w:rsidRPr="00703B1E">
              <w:rPr>
                <w:rFonts w:ascii="宋体" w:hAnsi="宋体" w:hint="eastAsia"/>
                <w:kern w:val="0"/>
                <w:szCs w:val="21"/>
              </w:rPr>
              <w:t>卷期号</w:t>
            </w:r>
          </w:p>
        </w:tc>
        <w:tc>
          <w:tcPr>
            <w:tcW w:w="992" w:type="dxa"/>
            <w:shd w:val="clear" w:color="auto" w:fill="auto"/>
            <w:vAlign w:val="center"/>
            <w:hideMark/>
          </w:tcPr>
          <w:p w:rsidR="00C70B20" w:rsidRPr="00703B1E" w:rsidRDefault="00C70B20" w:rsidP="00C70B20">
            <w:pPr>
              <w:widowControl/>
              <w:jc w:val="center"/>
              <w:rPr>
                <w:kern w:val="0"/>
                <w:szCs w:val="21"/>
              </w:rPr>
            </w:pPr>
            <w:r w:rsidRPr="00703B1E">
              <w:rPr>
                <w:rFonts w:ascii="宋体" w:hAnsi="宋体" w:hint="eastAsia"/>
                <w:kern w:val="0"/>
                <w:szCs w:val="21"/>
              </w:rPr>
              <w:t>第一</w:t>
            </w:r>
            <w:r w:rsidRPr="00703B1E">
              <w:rPr>
                <w:rFonts w:ascii="宋体" w:hAnsi="宋体" w:hint="eastAsia"/>
                <w:kern w:val="0"/>
                <w:szCs w:val="21"/>
              </w:rPr>
              <w:br/>
              <w:t>作者</w:t>
            </w:r>
          </w:p>
        </w:tc>
        <w:tc>
          <w:tcPr>
            <w:tcW w:w="992" w:type="dxa"/>
            <w:shd w:val="clear" w:color="auto" w:fill="auto"/>
            <w:vAlign w:val="center"/>
            <w:hideMark/>
          </w:tcPr>
          <w:p w:rsidR="00C70B20" w:rsidRPr="00703B1E" w:rsidRDefault="00C70B20" w:rsidP="00C70B20">
            <w:pPr>
              <w:widowControl/>
              <w:jc w:val="center"/>
              <w:rPr>
                <w:kern w:val="0"/>
                <w:szCs w:val="21"/>
              </w:rPr>
            </w:pPr>
            <w:r w:rsidRPr="00703B1E">
              <w:rPr>
                <w:rFonts w:ascii="宋体" w:hAnsi="宋体" w:hint="eastAsia"/>
                <w:kern w:val="0"/>
                <w:szCs w:val="21"/>
              </w:rPr>
              <w:t>责任</w:t>
            </w:r>
            <w:r w:rsidRPr="00703B1E">
              <w:rPr>
                <w:rFonts w:ascii="宋体" w:hAnsi="宋体"/>
                <w:kern w:val="0"/>
                <w:szCs w:val="21"/>
              </w:rPr>
              <w:br/>
            </w:r>
            <w:r w:rsidRPr="00703B1E">
              <w:rPr>
                <w:rFonts w:ascii="宋体" w:hAnsi="宋体" w:hint="eastAsia"/>
                <w:kern w:val="0"/>
                <w:szCs w:val="21"/>
              </w:rPr>
              <w:t>作者</w:t>
            </w:r>
          </w:p>
        </w:tc>
        <w:tc>
          <w:tcPr>
            <w:tcW w:w="993" w:type="dxa"/>
            <w:shd w:val="clear" w:color="auto" w:fill="auto"/>
            <w:vAlign w:val="center"/>
            <w:hideMark/>
          </w:tcPr>
          <w:p w:rsidR="00C70B20" w:rsidRPr="00703B1E" w:rsidRDefault="00C70B20" w:rsidP="00C70B20">
            <w:pPr>
              <w:widowControl/>
              <w:jc w:val="center"/>
              <w:rPr>
                <w:kern w:val="0"/>
                <w:szCs w:val="21"/>
              </w:rPr>
            </w:pPr>
            <w:r w:rsidRPr="00703B1E">
              <w:rPr>
                <w:rFonts w:ascii="宋体" w:hAnsi="宋体" w:hint="eastAsia"/>
                <w:kern w:val="0"/>
                <w:szCs w:val="21"/>
              </w:rPr>
              <w:t>期刊</w:t>
            </w:r>
            <w:r w:rsidRPr="00703B1E">
              <w:rPr>
                <w:rFonts w:ascii="宋体" w:hAnsi="宋体"/>
                <w:kern w:val="0"/>
                <w:szCs w:val="21"/>
              </w:rPr>
              <w:br/>
            </w:r>
            <w:r w:rsidRPr="00703B1E">
              <w:rPr>
                <w:rFonts w:ascii="宋体" w:hAnsi="宋体" w:hint="eastAsia"/>
                <w:kern w:val="0"/>
                <w:szCs w:val="21"/>
              </w:rPr>
              <w:t>分类</w:t>
            </w:r>
          </w:p>
        </w:tc>
      </w:tr>
      <w:tr w:rsidR="0045192E" w:rsidRPr="00C70B20" w:rsidTr="00703B1E">
        <w:trPr>
          <w:trHeight w:val="936"/>
        </w:trPr>
        <w:tc>
          <w:tcPr>
            <w:tcW w:w="567" w:type="dxa"/>
            <w:vAlign w:val="center"/>
          </w:tcPr>
          <w:p w:rsidR="0045192E" w:rsidRPr="00703B1E" w:rsidRDefault="0045192E" w:rsidP="00C70B20">
            <w:pPr>
              <w:widowControl/>
              <w:jc w:val="center"/>
              <w:rPr>
                <w:kern w:val="0"/>
                <w:szCs w:val="21"/>
              </w:rPr>
            </w:pPr>
            <w:r w:rsidRPr="00703B1E">
              <w:rPr>
                <w:rFonts w:hint="eastAsia"/>
                <w:kern w:val="0"/>
                <w:szCs w:val="21"/>
              </w:rPr>
              <w:t>1</w:t>
            </w:r>
          </w:p>
        </w:tc>
        <w:tc>
          <w:tcPr>
            <w:tcW w:w="2694" w:type="dxa"/>
            <w:shd w:val="clear" w:color="auto" w:fill="auto"/>
            <w:vAlign w:val="center"/>
            <w:hideMark/>
          </w:tcPr>
          <w:p w:rsidR="0045192E" w:rsidRDefault="0045192E">
            <w:pPr>
              <w:rPr>
                <w:sz w:val="24"/>
              </w:rPr>
            </w:pPr>
            <w:r>
              <w:t>Fifteen-Year Effects of Helicobacter pylori, Garlic, and Vitamin Treatments on Gastric Cancer Incidence and mortality</w:t>
            </w:r>
          </w:p>
        </w:tc>
        <w:tc>
          <w:tcPr>
            <w:tcW w:w="1417" w:type="dxa"/>
            <w:shd w:val="clear" w:color="auto" w:fill="auto"/>
            <w:vAlign w:val="center"/>
            <w:hideMark/>
          </w:tcPr>
          <w:p w:rsidR="0045192E" w:rsidRDefault="0045192E">
            <w:pPr>
              <w:jc w:val="center"/>
              <w:rPr>
                <w:sz w:val="24"/>
              </w:rPr>
            </w:pPr>
            <w:r>
              <w:t xml:space="preserve">J Natl Cancer Inst </w:t>
            </w:r>
          </w:p>
        </w:tc>
        <w:tc>
          <w:tcPr>
            <w:tcW w:w="1276" w:type="dxa"/>
            <w:shd w:val="clear" w:color="auto" w:fill="auto"/>
            <w:vAlign w:val="center"/>
            <w:hideMark/>
          </w:tcPr>
          <w:p w:rsidR="0045192E" w:rsidRDefault="0045192E">
            <w:pPr>
              <w:jc w:val="center"/>
              <w:rPr>
                <w:sz w:val="24"/>
              </w:rPr>
            </w:pPr>
            <w:r>
              <w:t>2012;104(6):488–492</w:t>
            </w:r>
          </w:p>
        </w:tc>
        <w:tc>
          <w:tcPr>
            <w:tcW w:w="992" w:type="dxa"/>
            <w:shd w:val="clear" w:color="auto" w:fill="auto"/>
            <w:vAlign w:val="center"/>
            <w:hideMark/>
          </w:tcPr>
          <w:p w:rsidR="0045192E" w:rsidRDefault="0045192E">
            <w:pPr>
              <w:jc w:val="center"/>
              <w:rPr>
                <w:sz w:val="24"/>
              </w:rPr>
            </w:pPr>
            <w:r>
              <w:t>马峻岭</w:t>
            </w:r>
          </w:p>
        </w:tc>
        <w:tc>
          <w:tcPr>
            <w:tcW w:w="992" w:type="dxa"/>
            <w:shd w:val="clear" w:color="auto" w:fill="auto"/>
            <w:vAlign w:val="center"/>
            <w:hideMark/>
          </w:tcPr>
          <w:p w:rsidR="0045192E" w:rsidRDefault="0045192E">
            <w:pPr>
              <w:jc w:val="center"/>
              <w:rPr>
                <w:rFonts w:ascii="宋体" w:hAnsi="宋体" w:cs="宋体"/>
                <w:sz w:val="24"/>
              </w:rPr>
            </w:pPr>
            <w:r>
              <w:rPr>
                <w:rFonts w:hint="eastAsia"/>
              </w:rPr>
              <w:t>外单位游伟程</w:t>
            </w:r>
          </w:p>
        </w:tc>
        <w:tc>
          <w:tcPr>
            <w:tcW w:w="993" w:type="dxa"/>
            <w:shd w:val="clear" w:color="auto" w:fill="auto"/>
            <w:vAlign w:val="center"/>
            <w:hideMark/>
          </w:tcPr>
          <w:p w:rsidR="0045192E" w:rsidRDefault="0045192E">
            <w:pPr>
              <w:jc w:val="center"/>
              <w:rPr>
                <w:sz w:val="24"/>
              </w:rPr>
            </w:pPr>
            <w:r>
              <w:t>13.757</w:t>
            </w:r>
          </w:p>
        </w:tc>
      </w:tr>
      <w:tr w:rsidR="0045192E" w:rsidRPr="00C70B20" w:rsidTr="00703B1E">
        <w:trPr>
          <w:trHeight w:val="936"/>
        </w:trPr>
        <w:tc>
          <w:tcPr>
            <w:tcW w:w="567" w:type="dxa"/>
            <w:vAlign w:val="center"/>
          </w:tcPr>
          <w:p w:rsidR="0045192E" w:rsidRPr="00703B1E" w:rsidRDefault="0045192E" w:rsidP="00C70B20">
            <w:pPr>
              <w:widowControl/>
              <w:jc w:val="center"/>
              <w:rPr>
                <w:kern w:val="0"/>
                <w:szCs w:val="21"/>
              </w:rPr>
            </w:pPr>
            <w:r w:rsidRPr="00703B1E">
              <w:rPr>
                <w:rFonts w:hint="eastAsia"/>
                <w:kern w:val="0"/>
                <w:szCs w:val="21"/>
              </w:rPr>
              <w:t>2</w:t>
            </w:r>
          </w:p>
        </w:tc>
        <w:tc>
          <w:tcPr>
            <w:tcW w:w="2694" w:type="dxa"/>
            <w:shd w:val="clear" w:color="auto" w:fill="auto"/>
            <w:vAlign w:val="center"/>
            <w:hideMark/>
          </w:tcPr>
          <w:p w:rsidR="0045192E" w:rsidRDefault="0045192E">
            <w:pPr>
              <w:rPr>
                <w:sz w:val="24"/>
              </w:rPr>
            </w:pPr>
            <w:r>
              <w:t>Effects of selective COX-2 inhibitor and Helicobacter pylori eradication on precancerous gastric lesions</w:t>
            </w:r>
          </w:p>
        </w:tc>
        <w:tc>
          <w:tcPr>
            <w:tcW w:w="1417" w:type="dxa"/>
            <w:shd w:val="clear" w:color="auto" w:fill="auto"/>
            <w:vAlign w:val="center"/>
            <w:hideMark/>
          </w:tcPr>
          <w:p w:rsidR="0045192E" w:rsidRDefault="0045192E">
            <w:pPr>
              <w:jc w:val="center"/>
              <w:rPr>
                <w:sz w:val="24"/>
              </w:rPr>
            </w:pPr>
            <w:r>
              <w:t xml:space="preserve">Gut </w:t>
            </w:r>
          </w:p>
        </w:tc>
        <w:tc>
          <w:tcPr>
            <w:tcW w:w="1276" w:type="dxa"/>
            <w:shd w:val="clear" w:color="auto" w:fill="auto"/>
            <w:vAlign w:val="center"/>
            <w:hideMark/>
          </w:tcPr>
          <w:p w:rsidR="0045192E" w:rsidRDefault="0045192E">
            <w:pPr>
              <w:jc w:val="center"/>
              <w:rPr>
                <w:sz w:val="24"/>
              </w:rPr>
            </w:pPr>
            <w:r>
              <w:t>2012;61(6):812-818</w:t>
            </w:r>
          </w:p>
        </w:tc>
        <w:tc>
          <w:tcPr>
            <w:tcW w:w="992" w:type="dxa"/>
            <w:shd w:val="clear" w:color="auto" w:fill="auto"/>
            <w:vAlign w:val="center"/>
            <w:hideMark/>
          </w:tcPr>
          <w:p w:rsidR="0045192E" w:rsidRDefault="0045192E">
            <w:pPr>
              <w:jc w:val="center"/>
              <w:rPr>
                <w:sz w:val="24"/>
              </w:rPr>
            </w:pPr>
            <w:r>
              <w:rPr>
                <w:rFonts w:hint="eastAsia"/>
              </w:rPr>
              <w:t>外单位</w:t>
            </w:r>
            <w:r>
              <w:t xml:space="preserve"> </w:t>
            </w:r>
            <w:r>
              <w:rPr>
                <w:rFonts w:hint="eastAsia"/>
              </w:rPr>
              <w:t>张联</w:t>
            </w:r>
          </w:p>
        </w:tc>
        <w:tc>
          <w:tcPr>
            <w:tcW w:w="992" w:type="dxa"/>
            <w:shd w:val="clear" w:color="auto" w:fill="auto"/>
            <w:vAlign w:val="center"/>
            <w:hideMark/>
          </w:tcPr>
          <w:p w:rsidR="0045192E" w:rsidRDefault="0045192E">
            <w:pPr>
              <w:jc w:val="center"/>
              <w:rPr>
                <w:sz w:val="24"/>
              </w:rPr>
            </w:pPr>
            <w:r>
              <w:rPr>
                <w:rFonts w:hint="eastAsia"/>
              </w:rPr>
              <w:t>游伟程</w:t>
            </w:r>
          </w:p>
        </w:tc>
        <w:tc>
          <w:tcPr>
            <w:tcW w:w="993" w:type="dxa"/>
            <w:shd w:val="clear" w:color="auto" w:fill="auto"/>
            <w:vAlign w:val="center"/>
            <w:hideMark/>
          </w:tcPr>
          <w:p w:rsidR="0045192E" w:rsidRDefault="0045192E">
            <w:pPr>
              <w:jc w:val="center"/>
              <w:rPr>
                <w:sz w:val="24"/>
              </w:rPr>
            </w:pPr>
            <w:r>
              <w:t>10.111</w:t>
            </w:r>
          </w:p>
        </w:tc>
      </w:tr>
      <w:tr w:rsidR="0045192E" w:rsidRPr="00C70B20" w:rsidTr="00703B1E">
        <w:trPr>
          <w:trHeight w:val="936"/>
        </w:trPr>
        <w:tc>
          <w:tcPr>
            <w:tcW w:w="567" w:type="dxa"/>
            <w:vAlign w:val="center"/>
          </w:tcPr>
          <w:p w:rsidR="0045192E" w:rsidRPr="00703B1E" w:rsidRDefault="0045192E" w:rsidP="00C70B20">
            <w:pPr>
              <w:widowControl/>
              <w:jc w:val="center"/>
              <w:rPr>
                <w:kern w:val="0"/>
                <w:szCs w:val="21"/>
              </w:rPr>
            </w:pPr>
            <w:r w:rsidRPr="00703B1E">
              <w:rPr>
                <w:rFonts w:hint="eastAsia"/>
                <w:kern w:val="0"/>
                <w:szCs w:val="21"/>
              </w:rPr>
              <w:t>3</w:t>
            </w:r>
          </w:p>
        </w:tc>
        <w:tc>
          <w:tcPr>
            <w:tcW w:w="2694" w:type="dxa"/>
            <w:shd w:val="clear" w:color="auto" w:fill="auto"/>
            <w:vAlign w:val="center"/>
            <w:hideMark/>
          </w:tcPr>
          <w:p w:rsidR="0045192E" w:rsidRDefault="0045192E">
            <w:pPr>
              <w:rPr>
                <w:sz w:val="24"/>
              </w:rPr>
            </w:pPr>
            <w:r>
              <w:t>Sialin (SLC17A5) functions as a nitrate transporter in the plasma membrane</w:t>
            </w:r>
          </w:p>
        </w:tc>
        <w:tc>
          <w:tcPr>
            <w:tcW w:w="1417" w:type="dxa"/>
            <w:shd w:val="clear" w:color="auto" w:fill="auto"/>
            <w:vAlign w:val="center"/>
            <w:hideMark/>
          </w:tcPr>
          <w:p w:rsidR="0045192E" w:rsidRDefault="0045192E">
            <w:pPr>
              <w:jc w:val="center"/>
              <w:rPr>
                <w:sz w:val="24"/>
              </w:rPr>
            </w:pPr>
            <w:r>
              <w:t>PNAS</w:t>
            </w:r>
          </w:p>
        </w:tc>
        <w:tc>
          <w:tcPr>
            <w:tcW w:w="1276" w:type="dxa"/>
            <w:shd w:val="clear" w:color="auto" w:fill="auto"/>
            <w:vAlign w:val="center"/>
            <w:hideMark/>
          </w:tcPr>
          <w:p w:rsidR="0045192E" w:rsidRDefault="0045192E">
            <w:pPr>
              <w:jc w:val="center"/>
              <w:rPr>
                <w:sz w:val="24"/>
              </w:rPr>
            </w:pPr>
            <w:r>
              <w:t>2012;109(33):13434-13439</w:t>
            </w:r>
          </w:p>
        </w:tc>
        <w:tc>
          <w:tcPr>
            <w:tcW w:w="992" w:type="dxa"/>
            <w:shd w:val="clear" w:color="auto" w:fill="auto"/>
            <w:vAlign w:val="center"/>
            <w:hideMark/>
          </w:tcPr>
          <w:p w:rsidR="0045192E" w:rsidRDefault="0045192E">
            <w:pPr>
              <w:jc w:val="center"/>
              <w:rPr>
                <w:sz w:val="24"/>
              </w:rPr>
            </w:pPr>
            <w:r>
              <w:t>外单位</w:t>
            </w:r>
          </w:p>
        </w:tc>
        <w:tc>
          <w:tcPr>
            <w:tcW w:w="992" w:type="dxa"/>
            <w:shd w:val="clear" w:color="auto" w:fill="auto"/>
            <w:vAlign w:val="center"/>
            <w:hideMark/>
          </w:tcPr>
          <w:p w:rsidR="0045192E" w:rsidRDefault="0045192E">
            <w:pPr>
              <w:jc w:val="center"/>
              <w:rPr>
                <w:sz w:val="24"/>
              </w:rPr>
            </w:pPr>
            <w:r>
              <w:t>邓大君（并列通讯，第三末位）</w:t>
            </w:r>
          </w:p>
        </w:tc>
        <w:tc>
          <w:tcPr>
            <w:tcW w:w="993" w:type="dxa"/>
            <w:shd w:val="clear" w:color="auto" w:fill="auto"/>
            <w:vAlign w:val="center"/>
            <w:hideMark/>
          </w:tcPr>
          <w:p w:rsidR="0045192E" w:rsidRDefault="0045192E">
            <w:pPr>
              <w:jc w:val="center"/>
              <w:rPr>
                <w:sz w:val="24"/>
              </w:rPr>
            </w:pPr>
            <w:r>
              <w:t>9.681</w:t>
            </w:r>
          </w:p>
        </w:tc>
      </w:tr>
      <w:tr w:rsidR="0028477E" w:rsidRPr="00703B1E" w:rsidTr="00880871">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4</w:t>
            </w:r>
          </w:p>
        </w:tc>
        <w:tc>
          <w:tcPr>
            <w:tcW w:w="2694" w:type="dxa"/>
            <w:shd w:val="clear" w:color="auto" w:fill="auto"/>
            <w:vAlign w:val="center"/>
            <w:hideMark/>
          </w:tcPr>
          <w:p w:rsidR="0028477E" w:rsidRDefault="0028477E">
            <w:pPr>
              <w:rPr>
                <w:sz w:val="24"/>
              </w:rPr>
            </w:pPr>
            <w:r>
              <w:t>SET8 promotes epithelial-mesenchymal transition and confers TWIST dual transcriptional activities</w:t>
            </w:r>
          </w:p>
        </w:tc>
        <w:tc>
          <w:tcPr>
            <w:tcW w:w="1417" w:type="dxa"/>
            <w:shd w:val="clear" w:color="auto" w:fill="auto"/>
            <w:vAlign w:val="center"/>
            <w:hideMark/>
          </w:tcPr>
          <w:p w:rsidR="0028477E" w:rsidRDefault="0028477E">
            <w:pPr>
              <w:jc w:val="center"/>
              <w:rPr>
                <w:sz w:val="24"/>
              </w:rPr>
            </w:pPr>
            <w:r>
              <w:t xml:space="preserve">EMBO JOURNAL  </w:t>
            </w:r>
          </w:p>
        </w:tc>
        <w:tc>
          <w:tcPr>
            <w:tcW w:w="1276" w:type="dxa"/>
            <w:shd w:val="clear" w:color="auto" w:fill="auto"/>
            <w:vAlign w:val="center"/>
            <w:hideMark/>
          </w:tcPr>
          <w:p w:rsidR="0028477E" w:rsidRDefault="0028477E">
            <w:pPr>
              <w:rPr>
                <w:sz w:val="24"/>
              </w:rPr>
            </w:pPr>
            <w:r>
              <w:t>2012;31(1):110-123</w:t>
            </w:r>
          </w:p>
        </w:tc>
        <w:tc>
          <w:tcPr>
            <w:tcW w:w="992" w:type="dxa"/>
            <w:shd w:val="clear" w:color="auto" w:fill="auto"/>
            <w:vAlign w:val="center"/>
            <w:hideMark/>
          </w:tcPr>
          <w:p w:rsidR="0028477E" w:rsidRDefault="0028477E">
            <w:pPr>
              <w:rPr>
                <w:sz w:val="24"/>
              </w:rPr>
            </w:pPr>
            <w:r>
              <w:t>Fen Yang</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尚永丰</w:t>
            </w:r>
            <w:r>
              <w:rPr>
                <w:rFonts w:hint="eastAsia"/>
              </w:rPr>
              <w:t xml:space="preserve">  </w:t>
            </w:r>
            <w:r>
              <w:rPr>
                <w:rFonts w:hint="eastAsia"/>
              </w:rPr>
              <w:t>外单位</w:t>
            </w:r>
          </w:p>
        </w:tc>
        <w:tc>
          <w:tcPr>
            <w:tcW w:w="993" w:type="dxa"/>
            <w:shd w:val="clear" w:color="auto" w:fill="auto"/>
            <w:vAlign w:val="center"/>
            <w:hideMark/>
          </w:tcPr>
          <w:p w:rsidR="0028477E" w:rsidRDefault="0028477E">
            <w:pPr>
              <w:jc w:val="center"/>
              <w:rPr>
                <w:sz w:val="24"/>
              </w:rPr>
            </w:pPr>
            <w:r>
              <w:t>9.205</w:t>
            </w:r>
          </w:p>
        </w:tc>
      </w:tr>
      <w:tr w:rsidR="0028477E" w:rsidRPr="00703B1E"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5</w:t>
            </w:r>
          </w:p>
        </w:tc>
        <w:tc>
          <w:tcPr>
            <w:tcW w:w="2694" w:type="dxa"/>
            <w:shd w:val="clear" w:color="auto" w:fill="auto"/>
            <w:vAlign w:val="center"/>
            <w:hideMark/>
          </w:tcPr>
          <w:p w:rsidR="0028477E" w:rsidRDefault="0028477E">
            <w:pPr>
              <w:rPr>
                <w:sz w:val="24"/>
              </w:rPr>
            </w:pPr>
            <w:r>
              <w:t>FOXO3 induces FOXO1-dependent autophagy by activating the AKT1 signaling pathway</w:t>
            </w:r>
          </w:p>
        </w:tc>
        <w:tc>
          <w:tcPr>
            <w:tcW w:w="1417" w:type="dxa"/>
            <w:shd w:val="clear" w:color="auto" w:fill="auto"/>
            <w:vAlign w:val="center"/>
            <w:hideMark/>
          </w:tcPr>
          <w:p w:rsidR="0028477E" w:rsidRDefault="0028477E">
            <w:pPr>
              <w:jc w:val="center"/>
              <w:rPr>
                <w:sz w:val="24"/>
              </w:rPr>
            </w:pPr>
            <w:r>
              <w:t>Autophagy</w:t>
            </w:r>
          </w:p>
        </w:tc>
        <w:tc>
          <w:tcPr>
            <w:tcW w:w="1276" w:type="dxa"/>
            <w:shd w:val="clear" w:color="auto" w:fill="auto"/>
            <w:vAlign w:val="center"/>
            <w:hideMark/>
          </w:tcPr>
          <w:p w:rsidR="0028477E" w:rsidRDefault="0028477E">
            <w:pPr>
              <w:rPr>
                <w:sz w:val="24"/>
              </w:rPr>
            </w:pPr>
            <w:r>
              <w:t>2012;8(12):1712-1723</w:t>
            </w:r>
          </w:p>
        </w:tc>
        <w:tc>
          <w:tcPr>
            <w:tcW w:w="992" w:type="dxa"/>
            <w:shd w:val="clear" w:color="auto" w:fill="auto"/>
            <w:vAlign w:val="center"/>
            <w:hideMark/>
          </w:tcPr>
          <w:p w:rsidR="0028477E" w:rsidRDefault="0028477E">
            <w:pPr>
              <w:rPr>
                <w:sz w:val="24"/>
              </w:rPr>
            </w:pPr>
            <w:r>
              <w:t>Jingyi Zhou</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朱卫国</w:t>
            </w:r>
          </w:p>
        </w:tc>
        <w:tc>
          <w:tcPr>
            <w:tcW w:w="993" w:type="dxa"/>
            <w:shd w:val="clear" w:color="auto" w:fill="auto"/>
            <w:vAlign w:val="center"/>
            <w:hideMark/>
          </w:tcPr>
          <w:p w:rsidR="0028477E" w:rsidRDefault="0028477E">
            <w:pPr>
              <w:jc w:val="center"/>
              <w:rPr>
                <w:sz w:val="24"/>
              </w:rPr>
            </w:pPr>
            <w:r>
              <w:t>7.453</w:t>
            </w:r>
          </w:p>
        </w:tc>
      </w:tr>
      <w:tr w:rsidR="0028477E" w:rsidRPr="00703B1E" w:rsidTr="00703B1E">
        <w:trPr>
          <w:trHeight w:val="1560"/>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lastRenderedPageBreak/>
              <w:t>6</w:t>
            </w:r>
          </w:p>
        </w:tc>
        <w:tc>
          <w:tcPr>
            <w:tcW w:w="2694" w:type="dxa"/>
            <w:shd w:val="clear" w:color="auto" w:fill="auto"/>
            <w:vAlign w:val="center"/>
            <w:hideMark/>
          </w:tcPr>
          <w:p w:rsidR="0028477E" w:rsidRDefault="0028477E">
            <w:pPr>
              <w:rPr>
                <w:sz w:val="24"/>
              </w:rPr>
            </w:pPr>
            <w:r>
              <w:t>Characterization and prediction of lysine (K)-acetyl-transferase (KAT) specific acetylation sites</w:t>
            </w:r>
          </w:p>
        </w:tc>
        <w:tc>
          <w:tcPr>
            <w:tcW w:w="1417" w:type="dxa"/>
            <w:shd w:val="clear" w:color="auto" w:fill="auto"/>
            <w:vAlign w:val="center"/>
            <w:hideMark/>
          </w:tcPr>
          <w:p w:rsidR="0028477E" w:rsidRDefault="0028477E">
            <w:pPr>
              <w:jc w:val="center"/>
              <w:rPr>
                <w:sz w:val="24"/>
              </w:rPr>
            </w:pPr>
            <w:r>
              <w:t xml:space="preserve">Mol Cell Proteomics </w:t>
            </w:r>
          </w:p>
        </w:tc>
        <w:tc>
          <w:tcPr>
            <w:tcW w:w="1276" w:type="dxa"/>
            <w:shd w:val="clear" w:color="auto" w:fill="auto"/>
            <w:vAlign w:val="center"/>
            <w:hideMark/>
          </w:tcPr>
          <w:p w:rsidR="0028477E" w:rsidRDefault="0028477E">
            <w:pPr>
              <w:rPr>
                <w:sz w:val="24"/>
              </w:rPr>
            </w:pPr>
            <w:r>
              <w:t>2012;11:M111.011080</w:t>
            </w:r>
          </w:p>
        </w:tc>
        <w:tc>
          <w:tcPr>
            <w:tcW w:w="992" w:type="dxa"/>
            <w:shd w:val="clear" w:color="auto" w:fill="auto"/>
            <w:vAlign w:val="center"/>
            <w:hideMark/>
          </w:tcPr>
          <w:p w:rsidR="0028477E" w:rsidRDefault="0028477E">
            <w:pPr>
              <w:rPr>
                <w:sz w:val="24"/>
              </w:rPr>
            </w:pPr>
            <w:r>
              <w:rPr>
                <w:rFonts w:hint="eastAsia"/>
              </w:rPr>
              <w:t>外单位</w:t>
            </w:r>
            <w:r>
              <w:t xml:space="preserve">  Du Yipeng</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朱卫国</w:t>
            </w:r>
            <w:r>
              <w:rPr>
                <w:rFonts w:hint="eastAsia"/>
              </w:rPr>
              <w:t xml:space="preserve">  </w:t>
            </w:r>
            <w:r>
              <w:rPr>
                <w:rFonts w:hint="eastAsia"/>
              </w:rPr>
              <w:t>外单位</w:t>
            </w:r>
          </w:p>
        </w:tc>
        <w:tc>
          <w:tcPr>
            <w:tcW w:w="993" w:type="dxa"/>
            <w:shd w:val="clear" w:color="auto" w:fill="auto"/>
            <w:vAlign w:val="center"/>
            <w:hideMark/>
          </w:tcPr>
          <w:p w:rsidR="0028477E" w:rsidRDefault="0028477E">
            <w:pPr>
              <w:jc w:val="center"/>
              <w:rPr>
                <w:sz w:val="24"/>
              </w:rPr>
            </w:pPr>
            <w:r>
              <w:t>7.398</w:t>
            </w:r>
          </w:p>
        </w:tc>
      </w:tr>
      <w:tr w:rsidR="0028477E" w:rsidRPr="00703B1E"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7</w:t>
            </w:r>
          </w:p>
        </w:tc>
        <w:tc>
          <w:tcPr>
            <w:tcW w:w="2694" w:type="dxa"/>
            <w:shd w:val="clear" w:color="auto" w:fill="auto"/>
            <w:vAlign w:val="center"/>
            <w:hideMark/>
          </w:tcPr>
          <w:p w:rsidR="0028477E" w:rsidRDefault="0028477E">
            <w:pPr>
              <w:rPr>
                <w:sz w:val="24"/>
              </w:rPr>
            </w:pPr>
            <w:r>
              <w:t>Kindlin 2 forms a transcriptional complex with b-catenin and TCF4 to enhance Wnt signalling</w:t>
            </w:r>
          </w:p>
        </w:tc>
        <w:tc>
          <w:tcPr>
            <w:tcW w:w="1417" w:type="dxa"/>
            <w:shd w:val="clear" w:color="auto" w:fill="auto"/>
            <w:vAlign w:val="center"/>
            <w:hideMark/>
          </w:tcPr>
          <w:p w:rsidR="0028477E" w:rsidRDefault="0028477E">
            <w:pPr>
              <w:jc w:val="center"/>
              <w:rPr>
                <w:sz w:val="24"/>
              </w:rPr>
            </w:pPr>
            <w:r>
              <w:t>EMBO reports</w:t>
            </w:r>
          </w:p>
        </w:tc>
        <w:tc>
          <w:tcPr>
            <w:tcW w:w="1276" w:type="dxa"/>
            <w:shd w:val="clear" w:color="auto" w:fill="auto"/>
            <w:vAlign w:val="center"/>
            <w:hideMark/>
          </w:tcPr>
          <w:p w:rsidR="0028477E" w:rsidRDefault="0028477E">
            <w:pPr>
              <w:rPr>
                <w:sz w:val="24"/>
              </w:rPr>
            </w:pPr>
            <w:r>
              <w:t>2012;13(8):750-8</w:t>
            </w:r>
          </w:p>
        </w:tc>
        <w:tc>
          <w:tcPr>
            <w:tcW w:w="992" w:type="dxa"/>
            <w:shd w:val="clear" w:color="auto" w:fill="auto"/>
            <w:vAlign w:val="center"/>
            <w:hideMark/>
          </w:tcPr>
          <w:p w:rsidR="0028477E" w:rsidRDefault="0028477E">
            <w:pPr>
              <w:rPr>
                <w:sz w:val="24"/>
              </w:rPr>
            </w:pPr>
            <w:r>
              <w:t>Yu Yu, Junzhou Wu,</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张宏权</w:t>
            </w:r>
          </w:p>
        </w:tc>
        <w:tc>
          <w:tcPr>
            <w:tcW w:w="993" w:type="dxa"/>
            <w:shd w:val="clear" w:color="auto" w:fill="auto"/>
            <w:vAlign w:val="center"/>
            <w:hideMark/>
          </w:tcPr>
          <w:p w:rsidR="0028477E" w:rsidRDefault="0028477E">
            <w:pPr>
              <w:jc w:val="center"/>
              <w:rPr>
                <w:sz w:val="24"/>
              </w:rPr>
            </w:pPr>
            <w:r>
              <w:t>7.355</w:t>
            </w:r>
          </w:p>
        </w:tc>
      </w:tr>
      <w:tr w:rsidR="0028477E" w:rsidRPr="00703B1E"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8</w:t>
            </w:r>
          </w:p>
        </w:tc>
        <w:tc>
          <w:tcPr>
            <w:tcW w:w="2694" w:type="dxa"/>
            <w:shd w:val="clear" w:color="auto" w:fill="auto"/>
            <w:vAlign w:val="center"/>
            <w:hideMark/>
          </w:tcPr>
          <w:p w:rsidR="0028477E" w:rsidRDefault="0028477E">
            <w:pPr>
              <w:rPr>
                <w:sz w:val="24"/>
              </w:rPr>
            </w:pPr>
            <w:r>
              <w:t>Elevated serum antibodies against insulin-like growth factor-binding protein-2 allow detecting early-stage cancers: evidences from glioma and colorectal carcinoma studies</w:t>
            </w:r>
          </w:p>
        </w:tc>
        <w:tc>
          <w:tcPr>
            <w:tcW w:w="1417" w:type="dxa"/>
            <w:shd w:val="clear" w:color="auto" w:fill="auto"/>
            <w:vAlign w:val="center"/>
            <w:hideMark/>
          </w:tcPr>
          <w:p w:rsidR="0028477E" w:rsidRDefault="0028477E">
            <w:pPr>
              <w:jc w:val="center"/>
              <w:rPr>
                <w:sz w:val="24"/>
              </w:rPr>
            </w:pPr>
            <w:r>
              <w:t xml:space="preserve">Annals of Oncology </w:t>
            </w:r>
          </w:p>
        </w:tc>
        <w:tc>
          <w:tcPr>
            <w:tcW w:w="1276" w:type="dxa"/>
            <w:shd w:val="clear" w:color="auto" w:fill="auto"/>
            <w:vAlign w:val="center"/>
            <w:hideMark/>
          </w:tcPr>
          <w:p w:rsidR="0028477E" w:rsidRDefault="0028477E">
            <w:pPr>
              <w:jc w:val="center"/>
              <w:rPr>
                <w:sz w:val="24"/>
              </w:rPr>
            </w:pPr>
            <w:r>
              <w:t xml:space="preserve">2012;23(9):2415-2422 </w:t>
            </w:r>
          </w:p>
        </w:tc>
        <w:tc>
          <w:tcPr>
            <w:tcW w:w="992" w:type="dxa"/>
            <w:shd w:val="clear" w:color="auto" w:fill="auto"/>
            <w:vAlign w:val="center"/>
            <w:hideMark/>
          </w:tcPr>
          <w:p w:rsidR="0028477E" w:rsidRDefault="0028477E">
            <w:pPr>
              <w:jc w:val="center"/>
              <w:rPr>
                <w:sz w:val="24"/>
              </w:rPr>
            </w:pPr>
            <w:r>
              <w:t>外单位</w:t>
            </w:r>
          </w:p>
        </w:tc>
        <w:tc>
          <w:tcPr>
            <w:tcW w:w="992" w:type="dxa"/>
            <w:shd w:val="clear" w:color="auto" w:fill="auto"/>
            <w:vAlign w:val="center"/>
            <w:hideMark/>
          </w:tcPr>
          <w:p w:rsidR="0028477E" w:rsidRDefault="0028477E">
            <w:pPr>
              <w:jc w:val="center"/>
              <w:rPr>
                <w:sz w:val="24"/>
              </w:rPr>
            </w:pPr>
            <w:r>
              <w:t>宋韦</w:t>
            </w:r>
          </w:p>
        </w:tc>
        <w:tc>
          <w:tcPr>
            <w:tcW w:w="993" w:type="dxa"/>
            <w:shd w:val="clear" w:color="auto" w:fill="auto"/>
            <w:vAlign w:val="center"/>
            <w:hideMark/>
          </w:tcPr>
          <w:p w:rsidR="0028477E" w:rsidRDefault="0028477E">
            <w:pPr>
              <w:jc w:val="center"/>
              <w:rPr>
                <w:sz w:val="24"/>
              </w:rPr>
            </w:pPr>
            <w:r>
              <w:t>6.425</w:t>
            </w:r>
          </w:p>
        </w:tc>
      </w:tr>
      <w:tr w:rsidR="0028477E" w:rsidRPr="00703B1E" w:rsidTr="00703B1E">
        <w:trPr>
          <w:trHeight w:val="1284"/>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9</w:t>
            </w:r>
          </w:p>
        </w:tc>
        <w:tc>
          <w:tcPr>
            <w:tcW w:w="2694" w:type="dxa"/>
            <w:shd w:val="clear" w:color="auto" w:fill="auto"/>
            <w:vAlign w:val="center"/>
            <w:hideMark/>
          </w:tcPr>
          <w:p w:rsidR="0028477E" w:rsidRDefault="0028477E">
            <w:pPr>
              <w:jc w:val="center"/>
              <w:rPr>
                <w:sz w:val="24"/>
              </w:rPr>
            </w:pPr>
            <w:r>
              <w:t>Relationship between LAPTM4B gene polymorphism and susceptibility of primary liver cancer</w:t>
            </w:r>
          </w:p>
        </w:tc>
        <w:tc>
          <w:tcPr>
            <w:tcW w:w="1417" w:type="dxa"/>
            <w:shd w:val="clear" w:color="auto" w:fill="auto"/>
            <w:vAlign w:val="center"/>
            <w:hideMark/>
          </w:tcPr>
          <w:p w:rsidR="0028477E" w:rsidRDefault="0028477E">
            <w:pPr>
              <w:jc w:val="center"/>
              <w:rPr>
                <w:sz w:val="24"/>
              </w:rPr>
            </w:pPr>
            <w:r>
              <w:t>Annals of Oncology</w:t>
            </w:r>
          </w:p>
        </w:tc>
        <w:tc>
          <w:tcPr>
            <w:tcW w:w="1276" w:type="dxa"/>
            <w:shd w:val="clear" w:color="auto" w:fill="auto"/>
            <w:vAlign w:val="center"/>
            <w:hideMark/>
          </w:tcPr>
          <w:p w:rsidR="0028477E" w:rsidRDefault="0028477E">
            <w:pPr>
              <w:jc w:val="center"/>
              <w:rPr>
                <w:sz w:val="24"/>
              </w:rPr>
            </w:pPr>
            <w:r>
              <w:t>2012;23(7):1864-1869</w:t>
            </w:r>
          </w:p>
        </w:tc>
        <w:tc>
          <w:tcPr>
            <w:tcW w:w="992" w:type="dxa"/>
            <w:shd w:val="clear" w:color="auto" w:fill="auto"/>
            <w:vAlign w:val="center"/>
            <w:hideMark/>
          </w:tcPr>
          <w:p w:rsidR="0028477E" w:rsidRDefault="0028477E">
            <w:pPr>
              <w:jc w:val="center"/>
              <w:rPr>
                <w:sz w:val="24"/>
              </w:rPr>
            </w:pPr>
            <w:r>
              <w:rPr>
                <w:rFonts w:hint="eastAsia"/>
              </w:rPr>
              <w:t>王杉</w:t>
            </w:r>
          </w:p>
        </w:tc>
        <w:tc>
          <w:tcPr>
            <w:tcW w:w="992" w:type="dxa"/>
            <w:shd w:val="clear" w:color="auto" w:fill="auto"/>
            <w:vAlign w:val="center"/>
            <w:hideMark/>
          </w:tcPr>
          <w:p w:rsidR="0028477E" w:rsidRDefault="0028477E">
            <w:pPr>
              <w:jc w:val="center"/>
              <w:rPr>
                <w:sz w:val="24"/>
              </w:rPr>
            </w:pPr>
            <w:r>
              <w:rPr>
                <w:rFonts w:hint="eastAsia"/>
              </w:rPr>
              <w:t>张青云</w:t>
            </w:r>
          </w:p>
        </w:tc>
        <w:tc>
          <w:tcPr>
            <w:tcW w:w="993" w:type="dxa"/>
            <w:shd w:val="clear" w:color="auto" w:fill="auto"/>
            <w:vAlign w:val="center"/>
            <w:hideMark/>
          </w:tcPr>
          <w:p w:rsidR="0028477E" w:rsidRDefault="0028477E">
            <w:pPr>
              <w:jc w:val="center"/>
              <w:rPr>
                <w:sz w:val="24"/>
              </w:rPr>
            </w:pPr>
            <w:r>
              <w:t>6.425</w:t>
            </w:r>
          </w:p>
        </w:tc>
      </w:tr>
      <w:tr w:rsidR="0028477E" w:rsidRPr="00703B1E" w:rsidTr="00703B1E">
        <w:trPr>
          <w:trHeight w:val="1560"/>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10</w:t>
            </w:r>
          </w:p>
        </w:tc>
        <w:tc>
          <w:tcPr>
            <w:tcW w:w="2694" w:type="dxa"/>
            <w:shd w:val="clear" w:color="auto" w:fill="auto"/>
            <w:vAlign w:val="center"/>
            <w:hideMark/>
          </w:tcPr>
          <w:p w:rsidR="0028477E" w:rsidRDefault="0028477E">
            <w:pPr>
              <w:rPr>
                <w:sz w:val="24"/>
              </w:rPr>
            </w:pPr>
            <w:r>
              <w:t>Let-7c functions as a metastasis suppressor by targeting MMP11 and PBX3 in colorectal cancer</w:t>
            </w:r>
          </w:p>
        </w:tc>
        <w:tc>
          <w:tcPr>
            <w:tcW w:w="1417" w:type="dxa"/>
            <w:shd w:val="clear" w:color="auto" w:fill="auto"/>
            <w:vAlign w:val="center"/>
            <w:hideMark/>
          </w:tcPr>
          <w:p w:rsidR="0028477E" w:rsidRDefault="0028477E">
            <w:pPr>
              <w:jc w:val="center"/>
              <w:rPr>
                <w:sz w:val="24"/>
              </w:rPr>
            </w:pPr>
            <w:r>
              <w:t>Journal of Pathology</w:t>
            </w:r>
          </w:p>
        </w:tc>
        <w:tc>
          <w:tcPr>
            <w:tcW w:w="1276" w:type="dxa"/>
            <w:shd w:val="clear" w:color="auto" w:fill="auto"/>
            <w:vAlign w:val="center"/>
            <w:hideMark/>
          </w:tcPr>
          <w:p w:rsidR="0028477E" w:rsidRDefault="0028477E">
            <w:pPr>
              <w:jc w:val="center"/>
              <w:rPr>
                <w:sz w:val="24"/>
              </w:rPr>
            </w:pPr>
            <w:r>
              <w:t>2012;226(3):544-555</w:t>
            </w:r>
          </w:p>
        </w:tc>
        <w:tc>
          <w:tcPr>
            <w:tcW w:w="992" w:type="dxa"/>
            <w:shd w:val="clear" w:color="auto" w:fill="auto"/>
            <w:vAlign w:val="center"/>
            <w:hideMark/>
          </w:tcPr>
          <w:p w:rsidR="0028477E" w:rsidRDefault="0028477E">
            <w:pPr>
              <w:jc w:val="center"/>
              <w:rPr>
                <w:sz w:val="24"/>
              </w:rPr>
            </w:pPr>
            <w:r>
              <w:rPr>
                <w:rFonts w:hint="eastAsia"/>
              </w:rPr>
              <w:t>韩海勃</w:t>
            </w:r>
            <w:r>
              <w:t xml:space="preserve">  </w:t>
            </w:r>
            <w:r>
              <w:rPr>
                <w:rFonts w:hint="eastAsia"/>
              </w:rPr>
              <w:t>顾晋</w:t>
            </w:r>
            <w:r>
              <w:t xml:space="preserve">   </w:t>
            </w:r>
            <w:r>
              <w:rPr>
                <w:rFonts w:hint="eastAsia"/>
              </w:rPr>
              <w:t>左慧晶</w:t>
            </w:r>
            <w:r>
              <w:t xml:space="preserve">   </w:t>
            </w:r>
            <w:r>
              <w:rPr>
                <w:rFonts w:hint="eastAsia"/>
              </w:rPr>
              <w:t>陈治国</w:t>
            </w:r>
          </w:p>
        </w:tc>
        <w:tc>
          <w:tcPr>
            <w:tcW w:w="992" w:type="dxa"/>
            <w:shd w:val="clear" w:color="auto" w:fill="auto"/>
            <w:vAlign w:val="center"/>
            <w:hideMark/>
          </w:tcPr>
          <w:p w:rsidR="0028477E" w:rsidRDefault="0028477E">
            <w:pPr>
              <w:jc w:val="center"/>
              <w:rPr>
                <w:sz w:val="24"/>
              </w:rPr>
            </w:pPr>
            <w:r>
              <w:rPr>
                <w:rFonts w:hint="eastAsia"/>
              </w:rPr>
              <w:t>张志谦</w:t>
            </w:r>
          </w:p>
        </w:tc>
        <w:tc>
          <w:tcPr>
            <w:tcW w:w="993" w:type="dxa"/>
            <w:shd w:val="clear" w:color="auto" w:fill="auto"/>
            <w:vAlign w:val="center"/>
            <w:hideMark/>
          </w:tcPr>
          <w:p w:rsidR="0028477E" w:rsidRDefault="0028477E">
            <w:pPr>
              <w:jc w:val="center"/>
              <w:rPr>
                <w:sz w:val="24"/>
              </w:rPr>
            </w:pPr>
            <w:r>
              <w:t>6.318</w:t>
            </w:r>
          </w:p>
        </w:tc>
      </w:tr>
      <w:tr w:rsidR="0028477E" w:rsidRPr="00703B1E"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11</w:t>
            </w:r>
          </w:p>
        </w:tc>
        <w:tc>
          <w:tcPr>
            <w:tcW w:w="2694" w:type="dxa"/>
            <w:shd w:val="clear" w:color="auto" w:fill="auto"/>
            <w:vAlign w:val="center"/>
            <w:hideMark/>
          </w:tcPr>
          <w:p w:rsidR="0028477E" w:rsidRDefault="0028477E">
            <w:pPr>
              <w:rPr>
                <w:sz w:val="24"/>
              </w:rPr>
            </w:pPr>
            <w:r>
              <w:t>miR-181d: a predictive glioblastoma biomarker that downregulates MGMT expression</w:t>
            </w:r>
          </w:p>
        </w:tc>
        <w:tc>
          <w:tcPr>
            <w:tcW w:w="1417" w:type="dxa"/>
            <w:shd w:val="clear" w:color="auto" w:fill="auto"/>
            <w:vAlign w:val="center"/>
            <w:hideMark/>
          </w:tcPr>
          <w:p w:rsidR="0028477E" w:rsidRDefault="0028477E">
            <w:pPr>
              <w:jc w:val="center"/>
              <w:rPr>
                <w:sz w:val="24"/>
              </w:rPr>
            </w:pPr>
            <w:r>
              <w:t xml:space="preserve">Neuro-Oncology </w:t>
            </w:r>
          </w:p>
        </w:tc>
        <w:tc>
          <w:tcPr>
            <w:tcW w:w="1276" w:type="dxa"/>
            <w:shd w:val="clear" w:color="auto" w:fill="auto"/>
            <w:vAlign w:val="center"/>
            <w:hideMark/>
          </w:tcPr>
          <w:p w:rsidR="0028477E" w:rsidRDefault="0028477E">
            <w:pPr>
              <w:jc w:val="center"/>
              <w:rPr>
                <w:sz w:val="24"/>
              </w:rPr>
            </w:pPr>
            <w:r>
              <w:t xml:space="preserve">2012;14(6):712-719 </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外单位</w:t>
            </w:r>
          </w:p>
        </w:tc>
        <w:tc>
          <w:tcPr>
            <w:tcW w:w="992" w:type="dxa"/>
            <w:shd w:val="clear" w:color="auto" w:fill="auto"/>
            <w:vAlign w:val="center"/>
            <w:hideMark/>
          </w:tcPr>
          <w:p w:rsidR="0028477E" w:rsidRDefault="0028477E">
            <w:pPr>
              <w:jc w:val="center"/>
              <w:rPr>
                <w:sz w:val="24"/>
              </w:rPr>
            </w:pPr>
            <w:r>
              <w:t>宋韦（</w:t>
            </w:r>
            <w:r>
              <w:t>3</w:t>
            </w:r>
            <w:r>
              <w:t>人并列通讯，倒数第</w:t>
            </w:r>
            <w:r>
              <w:t>3</w:t>
            </w:r>
            <w:r>
              <w:t>末位）</w:t>
            </w:r>
          </w:p>
        </w:tc>
        <w:tc>
          <w:tcPr>
            <w:tcW w:w="993" w:type="dxa"/>
            <w:shd w:val="clear" w:color="auto" w:fill="auto"/>
            <w:vAlign w:val="center"/>
            <w:hideMark/>
          </w:tcPr>
          <w:p w:rsidR="0028477E" w:rsidRDefault="0028477E">
            <w:pPr>
              <w:jc w:val="center"/>
              <w:rPr>
                <w:sz w:val="24"/>
              </w:rPr>
            </w:pPr>
            <w:r>
              <w:t>5.723</w:t>
            </w:r>
          </w:p>
        </w:tc>
      </w:tr>
      <w:tr w:rsidR="0028477E" w:rsidRPr="00703B1E"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12</w:t>
            </w:r>
          </w:p>
        </w:tc>
        <w:tc>
          <w:tcPr>
            <w:tcW w:w="2694" w:type="dxa"/>
            <w:shd w:val="clear" w:color="auto" w:fill="auto"/>
            <w:vAlign w:val="center"/>
            <w:hideMark/>
          </w:tcPr>
          <w:p w:rsidR="0028477E" w:rsidRDefault="0028477E">
            <w:pPr>
              <w:rPr>
                <w:sz w:val="24"/>
              </w:rPr>
            </w:pPr>
            <w:r>
              <w:t>5-Aza-2'-deoxycytidine reactivates gene expression via degradation of pRb pocket proteins</w:t>
            </w:r>
          </w:p>
        </w:tc>
        <w:tc>
          <w:tcPr>
            <w:tcW w:w="1417" w:type="dxa"/>
            <w:shd w:val="clear" w:color="auto" w:fill="auto"/>
            <w:vAlign w:val="center"/>
            <w:hideMark/>
          </w:tcPr>
          <w:p w:rsidR="0028477E" w:rsidRDefault="0028477E">
            <w:pPr>
              <w:jc w:val="center"/>
              <w:rPr>
                <w:sz w:val="24"/>
              </w:rPr>
            </w:pPr>
            <w:r>
              <w:t>The FASEB Journal</w:t>
            </w:r>
          </w:p>
        </w:tc>
        <w:tc>
          <w:tcPr>
            <w:tcW w:w="1276" w:type="dxa"/>
            <w:shd w:val="clear" w:color="auto" w:fill="auto"/>
            <w:vAlign w:val="center"/>
            <w:hideMark/>
          </w:tcPr>
          <w:p w:rsidR="0028477E" w:rsidRDefault="0028477E">
            <w:pPr>
              <w:rPr>
                <w:sz w:val="24"/>
              </w:rPr>
            </w:pPr>
            <w:r>
              <w:t>2012;26:449-459</w:t>
            </w:r>
          </w:p>
        </w:tc>
        <w:tc>
          <w:tcPr>
            <w:tcW w:w="992" w:type="dxa"/>
            <w:shd w:val="clear" w:color="auto" w:fill="auto"/>
            <w:vAlign w:val="center"/>
            <w:hideMark/>
          </w:tcPr>
          <w:p w:rsidR="0028477E" w:rsidRDefault="0028477E">
            <w:pPr>
              <w:rPr>
                <w:sz w:val="24"/>
              </w:rPr>
            </w:pPr>
            <w:r>
              <w:t>Zheng Zhixing, Li Lian</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朱卫国</w:t>
            </w:r>
          </w:p>
        </w:tc>
        <w:tc>
          <w:tcPr>
            <w:tcW w:w="993" w:type="dxa"/>
            <w:shd w:val="clear" w:color="auto" w:fill="auto"/>
            <w:vAlign w:val="center"/>
            <w:hideMark/>
          </w:tcPr>
          <w:p w:rsidR="0028477E" w:rsidRDefault="0028477E">
            <w:pPr>
              <w:jc w:val="center"/>
              <w:rPr>
                <w:sz w:val="24"/>
              </w:rPr>
            </w:pPr>
            <w:r>
              <w:t>5.712</w:t>
            </w:r>
          </w:p>
        </w:tc>
      </w:tr>
      <w:tr w:rsidR="0028477E" w:rsidRPr="00703B1E"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13</w:t>
            </w:r>
          </w:p>
        </w:tc>
        <w:tc>
          <w:tcPr>
            <w:tcW w:w="2694" w:type="dxa"/>
            <w:shd w:val="clear" w:color="auto" w:fill="auto"/>
            <w:vAlign w:val="center"/>
            <w:hideMark/>
          </w:tcPr>
          <w:p w:rsidR="0028477E" w:rsidRDefault="0028477E">
            <w:pPr>
              <w:rPr>
                <w:sz w:val="24"/>
              </w:rPr>
            </w:pPr>
            <w:r>
              <w:t>N-a-Acetyltransferase 10 protein inhibits apoptosis through RelA/p65-regulated MCL1 expression</w:t>
            </w:r>
          </w:p>
        </w:tc>
        <w:tc>
          <w:tcPr>
            <w:tcW w:w="1417" w:type="dxa"/>
            <w:shd w:val="clear" w:color="auto" w:fill="auto"/>
            <w:vAlign w:val="center"/>
            <w:hideMark/>
          </w:tcPr>
          <w:p w:rsidR="0028477E" w:rsidRDefault="0028477E">
            <w:pPr>
              <w:jc w:val="center"/>
              <w:rPr>
                <w:sz w:val="24"/>
              </w:rPr>
            </w:pPr>
            <w:r>
              <w:t>Carcinogenesis</w:t>
            </w:r>
          </w:p>
        </w:tc>
        <w:tc>
          <w:tcPr>
            <w:tcW w:w="1276" w:type="dxa"/>
            <w:shd w:val="clear" w:color="auto" w:fill="auto"/>
            <w:vAlign w:val="center"/>
            <w:hideMark/>
          </w:tcPr>
          <w:p w:rsidR="0028477E" w:rsidRDefault="0028477E">
            <w:pPr>
              <w:jc w:val="center"/>
              <w:rPr>
                <w:sz w:val="24"/>
              </w:rPr>
            </w:pPr>
            <w:r>
              <w:t>2012;33(6):1193-1202</w:t>
            </w:r>
          </w:p>
        </w:tc>
        <w:tc>
          <w:tcPr>
            <w:tcW w:w="992" w:type="dxa"/>
            <w:shd w:val="clear" w:color="auto" w:fill="auto"/>
            <w:vAlign w:val="center"/>
            <w:hideMark/>
          </w:tcPr>
          <w:p w:rsidR="0028477E" w:rsidRDefault="0028477E">
            <w:pPr>
              <w:jc w:val="center"/>
              <w:rPr>
                <w:sz w:val="24"/>
              </w:rPr>
            </w:pPr>
            <w:r>
              <w:t>徐慧玉</w:t>
            </w:r>
          </w:p>
        </w:tc>
        <w:tc>
          <w:tcPr>
            <w:tcW w:w="992" w:type="dxa"/>
            <w:shd w:val="clear" w:color="auto" w:fill="auto"/>
            <w:vAlign w:val="center"/>
            <w:hideMark/>
          </w:tcPr>
          <w:p w:rsidR="0028477E" w:rsidRDefault="0028477E">
            <w:pPr>
              <w:jc w:val="center"/>
              <w:rPr>
                <w:sz w:val="24"/>
              </w:rPr>
            </w:pPr>
            <w:r>
              <w:t>寿成超</w:t>
            </w:r>
            <w:r>
              <w:t xml:space="preserve"> </w:t>
            </w:r>
            <w:r>
              <w:t>曲立科</w:t>
            </w:r>
          </w:p>
        </w:tc>
        <w:tc>
          <w:tcPr>
            <w:tcW w:w="993" w:type="dxa"/>
            <w:shd w:val="clear" w:color="auto" w:fill="auto"/>
            <w:vAlign w:val="center"/>
            <w:hideMark/>
          </w:tcPr>
          <w:p w:rsidR="0028477E" w:rsidRDefault="0028477E">
            <w:pPr>
              <w:jc w:val="center"/>
              <w:rPr>
                <w:sz w:val="24"/>
              </w:rPr>
            </w:pPr>
            <w:r>
              <w:t>5.702</w:t>
            </w:r>
          </w:p>
        </w:tc>
      </w:tr>
      <w:tr w:rsidR="0028477E" w:rsidRPr="00703B1E"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14</w:t>
            </w:r>
          </w:p>
        </w:tc>
        <w:tc>
          <w:tcPr>
            <w:tcW w:w="2694" w:type="dxa"/>
            <w:shd w:val="clear" w:color="auto" w:fill="auto"/>
            <w:vAlign w:val="center"/>
            <w:hideMark/>
          </w:tcPr>
          <w:p w:rsidR="0028477E" w:rsidRDefault="0028477E">
            <w:pPr>
              <w:rPr>
                <w:sz w:val="24"/>
              </w:rPr>
            </w:pPr>
            <w:r>
              <w:t xml:space="preserve">Prevalence of BRAF V600E mutation in Chinese melanoma patients: Large scale analysis of BRAF and NRAS mutations in a </w:t>
            </w:r>
            <w:r>
              <w:lastRenderedPageBreak/>
              <w:t>432-case cohort</w:t>
            </w:r>
          </w:p>
        </w:tc>
        <w:tc>
          <w:tcPr>
            <w:tcW w:w="1417" w:type="dxa"/>
            <w:shd w:val="clear" w:color="auto" w:fill="auto"/>
            <w:vAlign w:val="center"/>
            <w:hideMark/>
          </w:tcPr>
          <w:p w:rsidR="0028477E" w:rsidRDefault="0028477E">
            <w:pPr>
              <w:jc w:val="center"/>
              <w:rPr>
                <w:sz w:val="24"/>
              </w:rPr>
            </w:pPr>
            <w:r>
              <w:lastRenderedPageBreak/>
              <w:t>European Journal of Cancer</w:t>
            </w:r>
          </w:p>
        </w:tc>
        <w:tc>
          <w:tcPr>
            <w:tcW w:w="1276" w:type="dxa"/>
            <w:shd w:val="clear" w:color="auto" w:fill="auto"/>
            <w:vAlign w:val="center"/>
            <w:hideMark/>
          </w:tcPr>
          <w:p w:rsidR="0028477E" w:rsidRDefault="0028477E">
            <w:pPr>
              <w:jc w:val="center"/>
              <w:rPr>
                <w:sz w:val="24"/>
              </w:rPr>
            </w:pPr>
            <w:r>
              <w:t>2012;48:94-100</w:t>
            </w:r>
          </w:p>
        </w:tc>
        <w:tc>
          <w:tcPr>
            <w:tcW w:w="992" w:type="dxa"/>
            <w:shd w:val="clear" w:color="auto" w:fill="auto"/>
            <w:vAlign w:val="center"/>
            <w:hideMark/>
          </w:tcPr>
          <w:p w:rsidR="0028477E" w:rsidRDefault="0028477E">
            <w:pPr>
              <w:jc w:val="center"/>
              <w:rPr>
                <w:sz w:val="24"/>
              </w:rPr>
            </w:pPr>
            <w:r>
              <w:rPr>
                <w:rFonts w:hint="eastAsia"/>
              </w:rPr>
              <w:t>斯璐</w:t>
            </w:r>
            <w:r>
              <w:t xml:space="preserve">   </w:t>
            </w:r>
            <w:r>
              <w:rPr>
                <w:rFonts w:hint="eastAsia"/>
              </w:rPr>
              <w:t>孔燕</w:t>
            </w:r>
          </w:p>
        </w:tc>
        <w:tc>
          <w:tcPr>
            <w:tcW w:w="992" w:type="dxa"/>
            <w:shd w:val="clear" w:color="auto" w:fill="auto"/>
            <w:vAlign w:val="center"/>
            <w:hideMark/>
          </w:tcPr>
          <w:p w:rsidR="0028477E" w:rsidRDefault="0028477E">
            <w:pPr>
              <w:jc w:val="center"/>
              <w:rPr>
                <w:sz w:val="24"/>
              </w:rPr>
            </w:pPr>
            <w:r>
              <w:rPr>
                <w:rFonts w:hint="eastAsia"/>
              </w:rPr>
              <w:t>郭军</w:t>
            </w:r>
          </w:p>
        </w:tc>
        <w:tc>
          <w:tcPr>
            <w:tcW w:w="993" w:type="dxa"/>
            <w:shd w:val="clear" w:color="auto" w:fill="auto"/>
            <w:vAlign w:val="center"/>
            <w:hideMark/>
          </w:tcPr>
          <w:p w:rsidR="0028477E" w:rsidRDefault="0028477E">
            <w:pPr>
              <w:jc w:val="center"/>
              <w:rPr>
                <w:sz w:val="24"/>
              </w:rPr>
            </w:pPr>
            <w:r>
              <w:t>5.536</w:t>
            </w:r>
          </w:p>
        </w:tc>
      </w:tr>
      <w:tr w:rsidR="0028477E" w:rsidRPr="00703B1E" w:rsidTr="00880871">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lastRenderedPageBreak/>
              <w:t>15</w:t>
            </w:r>
          </w:p>
        </w:tc>
        <w:tc>
          <w:tcPr>
            <w:tcW w:w="2694" w:type="dxa"/>
            <w:shd w:val="clear" w:color="auto" w:fill="auto"/>
            <w:vAlign w:val="center"/>
            <w:hideMark/>
          </w:tcPr>
          <w:p w:rsidR="0028477E" w:rsidRDefault="0028477E">
            <w:pPr>
              <w:rPr>
                <w:sz w:val="24"/>
              </w:rPr>
            </w:pPr>
            <w:r>
              <w:t>Nine Complete Genome Sequences of Cutaneous Human Papillomavirus Genotypes Isolated from Healthy Skin of Individuals Living in Rural He Nan Province, China</w:t>
            </w:r>
          </w:p>
        </w:tc>
        <w:tc>
          <w:tcPr>
            <w:tcW w:w="1417" w:type="dxa"/>
            <w:shd w:val="clear" w:color="auto" w:fill="auto"/>
            <w:vAlign w:val="center"/>
            <w:hideMark/>
          </w:tcPr>
          <w:p w:rsidR="0028477E" w:rsidRDefault="0028477E">
            <w:pPr>
              <w:jc w:val="center"/>
              <w:rPr>
                <w:sz w:val="24"/>
              </w:rPr>
            </w:pPr>
            <w:r>
              <w:t>Journal of Virology</w:t>
            </w:r>
          </w:p>
        </w:tc>
        <w:tc>
          <w:tcPr>
            <w:tcW w:w="1276" w:type="dxa"/>
            <w:shd w:val="clear" w:color="auto" w:fill="auto"/>
            <w:vAlign w:val="center"/>
            <w:hideMark/>
          </w:tcPr>
          <w:p w:rsidR="0028477E" w:rsidRDefault="0028477E">
            <w:pPr>
              <w:jc w:val="center"/>
              <w:rPr>
                <w:sz w:val="24"/>
              </w:rPr>
            </w:pPr>
            <w:r>
              <w:t>2012,86(21):11936</w:t>
            </w:r>
          </w:p>
        </w:tc>
        <w:tc>
          <w:tcPr>
            <w:tcW w:w="992" w:type="dxa"/>
            <w:shd w:val="clear" w:color="auto" w:fill="auto"/>
            <w:vAlign w:val="center"/>
            <w:hideMark/>
          </w:tcPr>
          <w:p w:rsidR="0028477E" w:rsidRDefault="0028477E">
            <w:pPr>
              <w:jc w:val="center"/>
              <w:rPr>
                <w:sz w:val="24"/>
              </w:rPr>
            </w:pPr>
            <w:r>
              <w:t>Li Jingjing</w:t>
            </w:r>
          </w:p>
        </w:tc>
        <w:tc>
          <w:tcPr>
            <w:tcW w:w="992" w:type="dxa"/>
            <w:shd w:val="clear" w:color="auto" w:fill="auto"/>
            <w:vAlign w:val="center"/>
            <w:hideMark/>
          </w:tcPr>
          <w:p w:rsidR="0028477E" w:rsidRDefault="0028477E">
            <w:pPr>
              <w:jc w:val="center"/>
              <w:rPr>
                <w:sz w:val="24"/>
              </w:rPr>
            </w:pPr>
            <w:r>
              <w:rPr>
                <w:rFonts w:hint="eastAsia"/>
              </w:rPr>
              <w:t>柯杨</w:t>
            </w:r>
          </w:p>
        </w:tc>
        <w:tc>
          <w:tcPr>
            <w:tcW w:w="993" w:type="dxa"/>
            <w:shd w:val="clear" w:color="auto" w:fill="auto"/>
            <w:vAlign w:val="center"/>
            <w:hideMark/>
          </w:tcPr>
          <w:p w:rsidR="0028477E" w:rsidRDefault="0028477E">
            <w:pPr>
              <w:jc w:val="center"/>
              <w:rPr>
                <w:sz w:val="24"/>
              </w:rPr>
            </w:pPr>
            <w:r>
              <w:t>5.402</w:t>
            </w:r>
          </w:p>
        </w:tc>
      </w:tr>
      <w:tr w:rsidR="0028477E" w:rsidRPr="00703B1E" w:rsidTr="00880871">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16</w:t>
            </w:r>
          </w:p>
        </w:tc>
        <w:tc>
          <w:tcPr>
            <w:tcW w:w="2694" w:type="dxa"/>
            <w:shd w:val="clear" w:color="auto" w:fill="auto"/>
            <w:vAlign w:val="center"/>
            <w:hideMark/>
          </w:tcPr>
          <w:p w:rsidR="0028477E" w:rsidRDefault="0028477E">
            <w:pPr>
              <w:rPr>
                <w:sz w:val="24"/>
              </w:rPr>
            </w:pPr>
            <w:r>
              <w:t>Steroid Receptor Coactivator-interacting Protein (SIP) Inhibits Caspase-independent Apoptosis by Preventing Apoptosis-inducing Factor (AIF) from Being Released from Mitochondria</w:t>
            </w:r>
          </w:p>
        </w:tc>
        <w:tc>
          <w:tcPr>
            <w:tcW w:w="1417" w:type="dxa"/>
            <w:shd w:val="clear" w:color="auto" w:fill="auto"/>
            <w:vAlign w:val="center"/>
            <w:hideMark/>
          </w:tcPr>
          <w:p w:rsidR="0028477E" w:rsidRDefault="0028477E">
            <w:pPr>
              <w:jc w:val="center"/>
              <w:rPr>
                <w:sz w:val="24"/>
              </w:rPr>
            </w:pPr>
            <w:r>
              <w:t>Journal of Biological Chemistry</w:t>
            </w:r>
          </w:p>
        </w:tc>
        <w:tc>
          <w:tcPr>
            <w:tcW w:w="1276" w:type="dxa"/>
            <w:shd w:val="clear" w:color="auto" w:fill="auto"/>
            <w:vAlign w:val="center"/>
            <w:hideMark/>
          </w:tcPr>
          <w:p w:rsidR="0028477E" w:rsidRDefault="0028477E">
            <w:pPr>
              <w:rPr>
                <w:sz w:val="24"/>
              </w:rPr>
            </w:pPr>
            <w:r>
              <w:t>2012;287(16):12612-12621</w:t>
            </w:r>
          </w:p>
        </w:tc>
        <w:tc>
          <w:tcPr>
            <w:tcW w:w="992" w:type="dxa"/>
            <w:shd w:val="clear" w:color="auto" w:fill="auto"/>
            <w:vAlign w:val="center"/>
            <w:hideMark/>
          </w:tcPr>
          <w:p w:rsidR="0028477E" w:rsidRDefault="0028477E">
            <w:pPr>
              <w:rPr>
                <w:rFonts w:ascii="宋体" w:hAnsi="宋体" w:cs="宋体"/>
                <w:sz w:val="24"/>
              </w:rPr>
            </w:pPr>
            <w:r>
              <w:rPr>
                <w:rFonts w:hint="eastAsia"/>
              </w:rPr>
              <w:t>王丹丹</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尚永丰</w:t>
            </w:r>
          </w:p>
        </w:tc>
        <w:tc>
          <w:tcPr>
            <w:tcW w:w="993" w:type="dxa"/>
            <w:shd w:val="clear" w:color="auto" w:fill="auto"/>
            <w:vAlign w:val="center"/>
            <w:hideMark/>
          </w:tcPr>
          <w:p w:rsidR="0028477E" w:rsidRDefault="0028477E">
            <w:pPr>
              <w:jc w:val="center"/>
              <w:rPr>
                <w:sz w:val="24"/>
              </w:rPr>
            </w:pPr>
            <w:r>
              <w:t>4.773</w:t>
            </w:r>
          </w:p>
        </w:tc>
      </w:tr>
      <w:tr w:rsidR="0028477E" w:rsidRPr="00703B1E" w:rsidTr="00880871">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17</w:t>
            </w:r>
          </w:p>
        </w:tc>
        <w:tc>
          <w:tcPr>
            <w:tcW w:w="2694" w:type="dxa"/>
            <w:shd w:val="clear" w:color="auto" w:fill="auto"/>
            <w:vAlign w:val="center"/>
            <w:hideMark/>
          </w:tcPr>
          <w:p w:rsidR="0028477E" w:rsidRDefault="0028477E">
            <w:pPr>
              <w:rPr>
                <w:sz w:val="24"/>
              </w:rPr>
            </w:pPr>
            <w:r>
              <w:t>Prevalence and characterization of BRCA1 and BRCA2 germline mutations in Chinese women with familial breast cancer</w:t>
            </w:r>
          </w:p>
        </w:tc>
        <w:tc>
          <w:tcPr>
            <w:tcW w:w="1417" w:type="dxa"/>
            <w:shd w:val="clear" w:color="auto" w:fill="auto"/>
            <w:vAlign w:val="center"/>
            <w:hideMark/>
          </w:tcPr>
          <w:p w:rsidR="0028477E" w:rsidRDefault="0028477E">
            <w:pPr>
              <w:jc w:val="center"/>
              <w:rPr>
                <w:sz w:val="24"/>
              </w:rPr>
            </w:pPr>
            <w:r>
              <w:t>Breast Cancer Res Treat</w:t>
            </w:r>
          </w:p>
        </w:tc>
        <w:tc>
          <w:tcPr>
            <w:tcW w:w="1276" w:type="dxa"/>
            <w:shd w:val="clear" w:color="auto" w:fill="auto"/>
            <w:vAlign w:val="center"/>
            <w:hideMark/>
          </w:tcPr>
          <w:p w:rsidR="0028477E" w:rsidRDefault="0028477E">
            <w:pPr>
              <w:jc w:val="center"/>
              <w:rPr>
                <w:sz w:val="24"/>
              </w:rPr>
            </w:pPr>
            <w:r>
              <w:t>2012;132:421-428</w:t>
            </w:r>
          </w:p>
        </w:tc>
        <w:tc>
          <w:tcPr>
            <w:tcW w:w="992" w:type="dxa"/>
            <w:shd w:val="clear" w:color="auto" w:fill="auto"/>
            <w:vAlign w:val="center"/>
            <w:hideMark/>
          </w:tcPr>
          <w:p w:rsidR="0028477E" w:rsidRDefault="0028477E">
            <w:pPr>
              <w:jc w:val="center"/>
              <w:rPr>
                <w:sz w:val="24"/>
              </w:rPr>
            </w:pPr>
            <w:r>
              <w:rPr>
                <w:rFonts w:hint="eastAsia"/>
              </w:rPr>
              <w:t>张娟</w:t>
            </w:r>
            <w:r>
              <w:t xml:space="preserve">   Pei Renguang  Zhang Zhiyuan  </w:t>
            </w:r>
          </w:p>
        </w:tc>
        <w:tc>
          <w:tcPr>
            <w:tcW w:w="992" w:type="dxa"/>
            <w:shd w:val="clear" w:color="auto" w:fill="auto"/>
            <w:vAlign w:val="center"/>
            <w:hideMark/>
          </w:tcPr>
          <w:p w:rsidR="0028477E" w:rsidRDefault="0028477E">
            <w:pPr>
              <w:jc w:val="center"/>
              <w:rPr>
                <w:sz w:val="24"/>
              </w:rPr>
            </w:pPr>
            <w:r>
              <w:rPr>
                <w:rFonts w:hint="eastAsia"/>
              </w:rPr>
              <w:t>解云涛</w:t>
            </w:r>
          </w:p>
        </w:tc>
        <w:tc>
          <w:tcPr>
            <w:tcW w:w="993" w:type="dxa"/>
            <w:shd w:val="clear" w:color="auto" w:fill="auto"/>
            <w:vAlign w:val="center"/>
            <w:hideMark/>
          </w:tcPr>
          <w:p w:rsidR="0028477E" w:rsidRDefault="0028477E">
            <w:pPr>
              <w:jc w:val="center"/>
              <w:rPr>
                <w:sz w:val="24"/>
              </w:rPr>
            </w:pPr>
            <w:r>
              <w:t>4.431</w:t>
            </w:r>
          </w:p>
        </w:tc>
      </w:tr>
      <w:tr w:rsidR="0028477E" w:rsidRPr="00C70B20" w:rsidTr="00703B1E">
        <w:trPr>
          <w:trHeight w:val="1572"/>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18</w:t>
            </w:r>
          </w:p>
        </w:tc>
        <w:tc>
          <w:tcPr>
            <w:tcW w:w="2694" w:type="dxa"/>
            <w:shd w:val="clear" w:color="auto" w:fill="auto"/>
            <w:vAlign w:val="center"/>
            <w:hideMark/>
          </w:tcPr>
          <w:p w:rsidR="0028477E" w:rsidRDefault="0028477E">
            <w:pPr>
              <w:rPr>
                <w:sz w:val="24"/>
              </w:rPr>
            </w:pPr>
            <w:r>
              <w:t>Somatic mutations in the BRCA1 gene in Chinese women with sporadic breast cancer</w:t>
            </w:r>
          </w:p>
        </w:tc>
        <w:tc>
          <w:tcPr>
            <w:tcW w:w="1417" w:type="dxa"/>
            <w:shd w:val="clear" w:color="auto" w:fill="auto"/>
            <w:vAlign w:val="center"/>
            <w:hideMark/>
          </w:tcPr>
          <w:p w:rsidR="0028477E" w:rsidRDefault="0028477E">
            <w:pPr>
              <w:jc w:val="center"/>
              <w:rPr>
                <w:sz w:val="24"/>
              </w:rPr>
            </w:pPr>
            <w:r>
              <w:t>Breast Cancer Res Treat</w:t>
            </w:r>
          </w:p>
        </w:tc>
        <w:tc>
          <w:tcPr>
            <w:tcW w:w="1276" w:type="dxa"/>
            <w:shd w:val="clear" w:color="auto" w:fill="auto"/>
            <w:vAlign w:val="center"/>
            <w:hideMark/>
          </w:tcPr>
          <w:p w:rsidR="0028477E" w:rsidRDefault="0028477E">
            <w:pPr>
              <w:jc w:val="center"/>
              <w:rPr>
                <w:sz w:val="24"/>
              </w:rPr>
            </w:pPr>
            <w:r>
              <w:t>2012;132:335-340</w:t>
            </w:r>
          </w:p>
        </w:tc>
        <w:tc>
          <w:tcPr>
            <w:tcW w:w="992" w:type="dxa"/>
            <w:shd w:val="clear" w:color="auto" w:fill="auto"/>
            <w:vAlign w:val="center"/>
            <w:hideMark/>
          </w:tcPr>
          <w:p w:rsidR="0028477E" w:rsidRDefault="0028477E">
            <w:pPr>
              <w:jc w:val="center"/>
              <w:rPr>
                <w:sz w:val="24"/>
              </w:rPr>
            </w:pPr>
            <w:r>
              <w:t xml:space="preserve">Zhang Min </w:t>
            </w:r>
            <w:r>
              <w:rPr>
                <w:rFonts w:hint="eastAsia"/>
              </w:rPr>
              <w:t>徐晔</w:t>
            </w:r>
          </w:p>
        </w:tc>
        <w:tc>
          <w:tcPr>
            <w:tcW w:w="992" w:type="dxa"/>
            <w:shd w:val="clear" w:color="auto" w:fill="auto"/>
            <w:vAlign w:val="center"/>
            <w:hideMark/>
          </w:tcPr>
          <w:p w:rsidR="0028477E" w:rsidRDefault="0028477E">
            <w:pPr>
              <w:jc w:val="center"/>
              <w:rPr>
                <w:sz w:val="24"/>
              </w:rPr>
            </w:pPr>
            <w:r>
              <w:rPr>
                <w:rFonts w:hint="eastAsia"/>
              </w:rPr>
              <w:t>解云涛</w:t>
            </w:r>
          </w:p>
        </w:tc>
        <w:tc>
          <w:tcPr>
            <w:tcW w:w="993" w:type="dxa"/>
            <w:shd w:val="clear" w:color="auto" w:fill="auto"/>
            <w:vAlign w:val="center"/>
            <w:hideMark/>
          </w:tcPr>
          <w:p w:rsidR="0028477E" w:rsidRDefault="0028477E">
            <w:pPr>
              <w:jc w:val="center"/>
              <w:rPr>
                <w:sz w:val="24"/>
              </w:rPr>
            </w:pPr>
            <w:r>
              <w:t>4.431</w:t>
            </w:r>
          </w:p>
        </w:tc>
      </w:tr>
      <w:tr w:rsidR="0028477E" w:rsidRPr="00C70B20" w:rsidTr="00703B1E">
        <w:trPr>
          <w:trHeight w:val="9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19</w:t>
            </w:r>
          </w:p>
        </w:tc>
        <w:tc>
          <w:tcPr>
            <w:tcW w:w="2694" w:type="dxa"/>
            <w:shd w:val="clear" w:color="auto" w:fill="auto"/>
            <w:vAlign w:val="center"/>
            <w:hideMark/>
          </w:tcPr>
          <w:p w:rsidR="0028477E" w:rsidRDefault="0028477E">
            <w:pPr>
              <w:rPr>
                <w:sz w:val="24"/>
              </w:rPr>
            </w:pPr>
            <w:r>
              <w:t>Genetic polymorphisms in centrobin and Nek2 are associated with breast cancer susceptibility in a Chinese Han population</w:t>
            </w:r>
          </w:p>
        </w:tc>
        <w:tc>
          <w:tcPr>
            <w:tcW w:w="1417" w:type="dxa"/>
            <w:shd w:val="clear" w:color="auto" w:fill="auto"/>
            <w:vAlign w:val="center"/>
            <w:hideMark/>
          </w:tcPr>
          <w:p w:rsidR="0028477E" w:rsidRDefault="0028477E">
            <w:pPr>
              <w:jc w:val="center"/>
              <w:rPr>
                <w:sz w:val="24"/>
              </w:rPr>
            </w:pPr>
            <w:r>
              <w:t>Breast Cancer Res Treat</w:t>
            </w:r>
          </w:p>
        </w:tc>
        <w:tc>
          <w:tcPr>
            <w:tcW w:w="1276" w:type="dxa"/>
            <w:shd w:val="clear" w:color="auto" w:fill="auto"/>
            <w:vAlign w:val="center"/>
            <w:hideMark/>
          </w:tcPr>
          <w:p w:rsidR="0028477E" w:rsidRDefault="0028477E">
            <w:pPr>
              <w:rPr>
                <w:sz w:val="24"/>
              </w:rPr>
            </w:pPr>
            <w:r>
              <w:t>2012;136:241-251</w:t>
            </w:r>
          </w:p>
        </w:tc>
        <w:tc>
          <w:tcPr>
            <w:tcW w:w="992" w:type="dxa"/>
            <w:shd w:val="clear" w:color="auto" w:fill="auto"/>
            <w:vAlign w:val="center"/>
            <w:hideMark/>
          </w:tcPr>
          <w:p w:rsidR="0028477E" w:rsidRDefault="0028477E">
            <w:pPr>
              <w:rPr>
                <w:sz w:val="24"/>
              </w:rPr>
            </w:pPr>
            <w:r>
              <w:t>Hui Wang</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方伟岗</w:t>
            </w:r>
            <w:r>
              <w:rPr>
                <w:rFonts w:hint="eastAsia"/>
              </w:rPr>
              <w:t xml:space="preserve">  </w:t>
            </w:r>
            <w:r>
              <w:rPr>
                <w:rFonts w:hint="eastAsia"/>
              </w:rPr>
              <w:t>田新霞</w:t>
            </w:r>
          </w:p>
        </w:tc>
        <w:tc>
          <w:tcPr>
            <w:tcW w:w="993" w:type="dxa"/>
            <w:shd w:val="clear" w:color="auto" w:fill="auto"/>
            <w:vAlign w:val="center"/>
            <w:hideMark/>
          </w:tcPr>
          <w:p w:rsidR="0028477E" w:rsidRDefault="0028477E">
            <w:pPr>
              <w:jc w:val="center"/>
              <w:rPr>
                <w:sz w:val="24"/>
              </w:rPr>
            </w:pPr>
            <w:r>
              <w:t>4.431</w:t>
            </w:r>
          </w:p>
        </w:tc>
      </w:tr>
      <w:tr w:rsidR="0028477E" w:rsidRPr="00C70B20" w:rsidTr="00703B1E">
        <w:trPr>
          <w:trHeight w:val="624"/>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20</w:t>
            </w:r>
          </w:p>
        </w:tc>
        <w:tc>
          <w:tcPr>
            <w:tcW w:w="2694" w:type="dxa"/>
            <w:shd w:val="clear" w:color="auto" w:fill="auto"/>
            <w:vAlign w:val="center"/>
            <w:hideMark/>
          </w:tcPr>
          <w:p w:rsidR="0028477E" w:rsidRDefault="0028477E">
            <w:pPr>
              <w:rPr>
                <w:sz w:val="24"/>
              </w:rPr>
            </w:pPr>
            <w:r>
              <w:t>The p16-Specific Reactivation and Inhibition of Cell Migration Through Demethylation of CpG Islands by Engineered Transcription Factors</w:t>
            </w:r>
          </w:p>
        </w:tc>
        <w:tc>
          <w:tcPr>
            <w:tcW w:w="1417" w:type="dxa"/>
            <w:shd w:val="clear" w:color="auto" w:fill="auto"/>
            <w:vAlign w:val="center"/>
            <w:hideMark/>
          </w:tcPr>
          <w:p w:rsidR="0028477E" w:rsidRDefault="0028477E">
            <w:pPr>
              <w:jc w:val="center"/>
              <w:rPr>
                <w:sz w:val="24"/>
              </w:rPr>
            </w:pPr>
            <w:r>
              <w:t>HUMAN GENE THERAPY</w:t>
            </w:r>
          </w:p>
        </w:tc>
        <w:tc>
          <w:tcPr>
            <w:tcW w:w="1276" w:type="dxa"/>
            <w:shd w:val="clear" w:color="auto" w:fill="auto"/>
            <w:vAlign w:val="center"/>
            <w:hideMark/>
          </w:tcPr>
          <w:p w:rsidR="0028477E" w:rsidRDefault="0028477E">
            <w:pPr>
              <w:jc w:val="center"/>
              <w:rPr>
                <w:sz w:val="24"/>
              </w:rPr>
            </w:pPr>
            <w:r>
              <w:t>2012;23:1071-1081</w:t>
            </w:r>
          </w:p>
        </w:tc>
        <w:tc>
          <w:tcPr>
            <w:tcW w:w="992" w:type="dxa"/>
            <w:shd w:val="clear" w:color="auto" w:fill="auto"/>
            <w:vAlign w:val="center"/>
            <w:hideMark/>
          </w:tcPr>
          <w:p w:rsidR="0028477E" w:rsidRDefault="0028477E">
            <w:pPr>
              <w:jc w:val="center"/>
              <w:rPr>
                <w:sz w:val="24"/>
              </w:rPr>
            </w:pPr>
            <w:r>
              <w:rPr>
                <w:rFonts w:hint="eastAsia"/>
              </w:rPr>
              <w:t>张宝珍</w:t>
            </w:r>
            <w:r>
              <w:t xml:space="preserve">  </w:t>
            </w:r>
            <w:r>
              <w:rPr>
                <w:rFonts w:hint="eastAsia"/>
              </w:rPr>
              <w:t>向生焱</w:t>
            </w:r>
          </w:p>
        </w:tc>
        <w:tc>
          <w:tcPr>
            <w:tcW w:w="992" w:type="dxa"/>
            <w:shd w:val="clear" w:color="auto" w:fill="auto"/>
            <w:vAlign w:val="center"/>
            <w:hideMark/>
          </w:tcPr>
          <w:p w:rsidR="0028477E" w:rsidRDefault="0028477E">
            <w:pPr>
              <w:jc w:val="center"/>
              <w:rPr>
                <w:sz w:val="24"/>
              </w:rPr>
            </w:pPr>
            <w:r>
              <w:rPr>
                <w:rFonts w:hint="eastAsia"/>
              </w:rPr>
              <w:t>邓大君</w:t>
            </w:r>
          </w:p>
        </w:tc>
        <w:tc>
          <w:tcPr>
            <w:tcW w:w="993" w:type="dxa"/>
            <w:shd w:val="clear" w:color="auto" w:fill="auto"/>
            <w:vAlign w:val="center"/>
            <w:hideMark/>
          </w:tcPr>
          <w:p w:rsidR="0028477E" w:rsidRDefault="0028477E">
            <w:pPr>
              <w:jc w:val="center"/>
              <w:rPr>
                <w:sz w:val="24"/>
              </w:rPr>
            </w:pPr>
            <w:r>
              <w:t>4.218</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21</w:t>
            </w:r>
          </w:p>
        </w:tc>
        <w:tc>
          <w:tcPr>
            <w:tcW w:w="2694" w:type="dxa"/>
            <w:shd w:val="clear" w:color="auto" w:fill="auto"/>
            <w:vAlign w:val="center"/>
            <w:hideMark/>
          </w:tcPr>
          <w:p w:rsidR="0028477E" w:rsidRDefault="0028477E">
            <w:pPr>
              <w:rPr>
                <w:sz w:val="24"/>
              </w:rPr>
            </w:pPr>
            <w:r>
              <w:t xml:space="preserve">Human Papillomavirus Infection and Esophageal Squamous Cell Carcinoma: </w:t>
            </w:r>
            <w:r>
              <w:lastRenderedPageBreak/>
              <w:t>A Case–Control Study</w:t>
            </w:r>
          </w:p>
        </w:tc>
        <w:tc>
          <w:tcPr>
            <w:tcW w:w="1417" w:type="dxa"/>
            <w:shd w:val="clear" w:color="auto" w:fill="auto"/>
            <w:vAlign w:val="center"/>
            <w:hideMark/>
          </w:tcPr>
          <w:p w:rsidR="0028477E" w:rsidRDefault="0028477E">
            <w:pPr>
              <w:jc w:val="center"/>
              <w:rPr>
                <w:sz w:val="24"/>
              </w:rPr>
            </w:pPr>
            <w:r>
              <w:lastRenderedPageBreak/>
              <w:t xml:space="preserve">Cancer Epidemiology Biomarkers &amp; </w:t>
            </w:r>
            <w:r>
              <w:lastRenderedPageBreak/>
              <w:t>Prevention</w:t>
            </w:r>
          </w:p>
        </w:tc>
        <w:tc>
          <w:tcPr>
            <w:tcW w:w="1276" w:type="dxa"/>
            <w:shd w:val="clear" w:color="auto" w:fill="auto"/>
            <w:vAlign w:val="center"/>
            <w:hideMark/>
          </w:tcPr>
          <w:p w:rsidR="0028477E" w:rsidRDefault="0028477E">
            <w:pPr>
              <w:jc w:val="center"/>
              <w:rPr>
                <w:sz w:val="24"/>
              </w:rPr>
            </w:pPr>
            <w:r>
              <w:lastRenderedPageBreak/>
              <w:t>2012;21(5):780-786</w:t>
            </w:r>
          </w:p>
        </w:tc>
        <w:tc>
          <w:tcPr>
            <w:tcW w:w="992" w:type="dxa"/>
            <w:shd w:val="clear" w:color="auto" w:fill="auto"/>
            <w:vAlign w:val="center"/>
            <w:hideMark/>
          </w:tcPr>
          <w:p w:rsidR="0028477E" w:rsidRDefault="0028477E">
            <w:pPr>
              <w:jc w:val="center"/>
              <w:rPr>
                <w:sz w:val="24"/>
              </w:rPr>
            </w:pPr>
            <w:r>
              <w:t xml:space="preserve">Guo Fengcen </w:t>
            </w:r>
            <w:r>
              <w:rPr>
                <w:rFonts w:hint="eastAsia"/>
              </w:rPr>
              <w:t>刘英</w:t>
            </w:r>
            <w:r>
              <w:t xml:space="preserve"> </w:t>
            </w:r>
            <w:r>
              <w:lastRenderedPageBreak/>
              <w:t>Wang Xueqian</w:t>
            </w:r>
          </w:p>
        </w:tc>
        <w:tc>
          <w:tcPr>
            <w:tcW w:w="992" w:type="dxa"/>
            <w:shd w:val="clear" w:color="auto" w:fill="auto"/>
            <w:vAlign w:val="center"/>
            <w:hideMark/>
          </w:tcPr>
          <w:p w:rsidR="0028477E" w:rsidRDefault="0028477E">
            <w:pPr>
              <w:jc w:val="center"/>
              <w:rPr>
                <w:sz w:val="24"/>
              </w:rPr>
            </w:pPr>
            <w:r>
              <w:rPr>
                <w:rFonts w:hint="eastAsia"/>
              </w:rPr>
              <w:lastRenderedPageBreak/>
              <w:t>柯杨</w:t>
            </w:r>
            <w:r>
              <w:t xml:space="preserve"> </w:t>
            </w:r>
            <w:r>
              <w:rPr>
                <w:rFonts w:hint="eastAsia"/>
              </w:rPr>
              <w:t>蔡红</w:t>
            </w:r>
          </w:p>
        </w:tc>
        <w:tc>
          <w:tcPr>
            <w:tcW w:w="993" w:type="dxa"/>
            <w:shd w:val="clear" w:color="auto" w:fill="auto"/>
            <w:vAlign w:val="center"/>
            <w:hideMark/>
          </w:tcPr>
          <w:p w:rsidR="0028477E" w:rsidRDefault="0028477E">
            <w:pPr>
              <w:jc w:val="center"/>
              <w:rPr>
                <w:sz w:val="24"/>
              </w:rPr>
            </w:pPr>
            <w:r>
              <w:t>4.123</w:t>
            </w:r>
          </w:p>
        </w:tc>
      </w:tr>
      <w:tr w:rsidR="0028477E" w:rsidRPr="00C70B20" w:rsidTr="00703B1E">
        <w:trPr>
          <w:trHeight w:val="1572"/>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lastRenderedPageBreak/>
              <w:t>22</w:t>
            </w:r>
          </w:p>
        </w:tc>
        <w:tc>
          <w:tcPr>
            <w:tcW w:w="2694" w:type="dxa"/>
            <w:shd w:val="clear" w:color="auto" w:fill="auto"/>
            <w:vAlign w:val="center"/>
            <w:hideMark/>
          </w:tcPr>
          <w:p w:rsidR="0028477E" w:rsidRDefault="0028477E">
            <w:pPr>
              <w:rPr>
                <w:sz w:val="24"/>
              </w:rPr>
            </w:pPr>
            <w:r>
              <w:t>The Anyang Esophageal Cancer Cohort Study: Study Design, Implementation of Fieldwork, and Use of Computer-Aided Survey System</w:t>
            </w:r>
          </w:p>
        </w:tc>
        <w:tc>
          <w:tcPr>
            <w:tcW w:w="1417" w:type="dxa"/>
            <w:shd w:val="clear" w:color="auto" w:fill="auto"/>
            <w:vAlign w:val="center"/>
            <w:hideMark/>
          </w:tcPr>
          <w:p w:rsidR="0028477E" w:rsidRDefault="0028477E">
            <w:pPr>
              <w:jc w:val="center"/>
              <w:rPr>
                <w:sz w:val="24"/>
              </w:rPr>
            </w:pPr>
            <w:r>
              <w:t xml:space="preserve">PLoS ONE </w:t>
            </w:r>
          </w:p>
        </w:tc>
        <w:tc>
          <w:tcPr>
            <w:tcW w:w="1276" w:type="dxa"/>
            <w:shd w:val="clear" w:color="auto" w:fill="auto"/>
            <w:vAlign w:val="center"/>
            <w:hideMark/>
          </w:tcPr>
          <w:p w:rsidR="0028477E" w:rsidRDefault="0028477E">
            <w:pPr>
              <w:jc w:val="center"/>
              <w:rPr>
                <w:sz w:val="24"/>
              </w:rPr>
            </w:pPr>
            <w:r>
              <w:t>2012;7(2): e31602</w:t>
            </w:r>
          </w:p>
        </w:tc>
        <w:tc>
          <w:tcPr>
            <w:tcW w:w="992" w:type="dxa"/>
            <w:shd w:val="clear" w:color="auto" w:fill="auto"/>
            <w:vAlign w:val="center"/>
            <w:hideMark/>
          </w:tcPr>
          <w:p w:rsidR="0028477E" w:rsidRDefault="0028477E">
            <w:pPr>
              <w:jc w:val="center"/>
              <w:rPr>
                <w:sz w:val="24"/>
              </w:rPr>
            </w:pPr>
            <w:r>
              <w:rPr>
                <w:rFonts w:hint="eastAsia"/>
              </w:rPr>
              <w:t>刘芳芳</w:t>
            </w:r>
            <w:r>
              <w:t xml:space="preserve"> Guo Fangcen</w:t>
            </w:r>
          </w:p>
        </w:tc>
        <w:tc>
          <w:tcPr>
            <w:tcW w:w="992" w:type="dxa"/>
            <w:shd w:val="clear" w:color="auto" w:fill="auto"/>
            <w:vAlign w:val="center"/>
            <w:hideMark/>
          </w:tcPr>
          <w:p w:rsidR="0028477E" w:rsidRDefault="0028477E">
            <w:pPr>
              <w:jc w:val="center"/>
              <w:rPr>
                <w:sz w:val="24"/>
              </w:rPr>
            </w:pPr>
            <w:r>
              <w:rPr>
                <w:rFonts w:hint="eastAsia"/>
              </w:rPr>
              <w:t>柯杨</w:t>
            </w:r>
            <w:r>
              <w:t xml:space="preserve">  </w:t>
            </w:r>
            <w:r>
              <w:rPr>
                <w:rFonts w:hint="eastAsia"/>
              </w:rPr>
              <w:t>蔡红</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9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23</w:t>
            </w:r>
          </w:p>
        </w:tc>
        <w:tc>
          <w:tcPr>
            <w:tcW w:w="2694" w:type="dxa"/>
            <w:shd w:val="clear" w:color="auto" w:fill="auto"/>
            <w:vAlign w:val="center"/>
            <w:hideMark/>
          </w:tcPr>
          <w:p w:rsidR="0028477E" w:rsidRDefault="0028477E">
            <w:pPr>
              <w:rPr>
                <w:sz w:val="24"/>
              </w:rPr>
            </w:pPr>
            <w:r>
              <w:t>Transcriptional repressor NIR functions in the ribosome RNA processing of both 40s and 60s subunits</w:t>
            </w:r>
          </w:p>
        </w:tc>
        <w:tc>
          <w:tcPr>
            <w:tcW w:w="1417" w:type="dxa"/>
            <w:shd w:val="clear" w:color="auto" w:fill="auto"/>
            <w:vAlign w:val="center"/>
            <w:hideMark/>
          </w:tcPr>
          <w:p w:rsidR="0028477E" w:rsidRDefault="0028477E">
            <w:pPr>
              <w:jc w:val="center"/>
              <w:rPr>
                <w:sz w:val="24"/>
              </w:rPr>
            </w:pPr>
            <w:r>
              <w:t xml:space="preserve">PLoS ONE </w:t>
            </w:r>
          </w:p>
        </w:tc>
        <w:tc>
          <w:tcPr>
            <w:tcW w:w="1276" w:type="dxa"/>
            <w:shd w:val="clear" w:color="auto" w:fill="auto"/>
            <w:vAlign w:val="center"/>
            <w:hideMark/>
          </w:tcPr>
          <w:p w:rsidR="0028477E" w:rsidRDefault="0028477E">
            <w:pPr>
              <w:jc w:val="center"/>
              <w:rPr>
                <w:sz w:val="24"/>
              </w:rPr>
            </w:pPr>
            <w:r>
              <w:t>2012;7(2): e31692</w:t>
            </w:r>
          </w:p>
        </w:tc>
        <w:tc>
          <w:tcPr>
            <w:tcW w:w="992" w:type="dxa"/>
            <w:shd w:val="clear" w:color="auto" w:fill="auto"/>
            <w:vAlign w:val="center"/>
            <w:hideMark/>
          </w:tcPr>
          <w:p w:rsidR="0028477E" w:rsidRDefault="0028477E">
            <w:pPr>
              <w:jc w:val="center"/>
              <w:rPr>
                <w:sz w:val="24"/>
              </w:rPr>
            </w:pPr>
            <w:r>
              <w:t>Wu Jianguo  Zhang Ying</w:t>
            </w:r>
          </w:p>
        </w:tc>
        <w:tc>
          <w:tcPr>
            <w:tcW w:w="992" w:type="dxa"/>
            <w:shd w:val="clear" w:color="auto" w:fill="auto"/>
            <w:vAlign w:val="center"/>
            <w:hideMark/>
          </w:tcPr>
          <w:p w:rsidR="0028477E" w:rsidRDefault="0028477E">
            <w:pPr>
              <w:jc w:val="center"/>
              <w:rPr>
                <w:sz w:val="24"/>
              </w:rPr>
            </w:pPr>
            <w:r>
              <w:rPr>
                <w:rFonts w:hint="eastAsia"/>
              </w:rPr>
              <w:t>柯杨</w:t>
            </w:r>
            <w:r>
              <w:t xml:space="preserve">  </w:t>
            </w:r>
            <w:r>
              <w:rPr>
                <w:rFonts w:hint="eastAsia"/>
              </w:rPr>
              <w:t>外单位</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24</w:t>
            </w:r>
          </w:p>
        </w:tc>
        <w:tc>
          <w:tcPr>
            <w:tcW w:w="2694" w:type="dxa"/>
            <w:shd w:val="clear" w:color="auto" w:fill="auto"/>
            <w:vAlign w:val="center"/>
            <w:hideMark/>
          </w:tcPr>
          <w:p w:rsidR="0028477E" w:rsidRDefault="0028477E">
            <w:pPr>
              <w:rPr>
                <w:sz w:val="24"/>
              </w:rPr>
            </w:pPr>
            <w:r>
              <w:t>Nucleosomes Correlate with In Vivo Progression Pattern of De Novo Methylation of p16 CpG Islands in Human Gastric Carcinogenesis</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2012;7(4):e35928</w:t>
            </w:r>
          </w:p>
        </w:tc>
        <w:tc>
          <w:tcPr>
            <w:tcW w:w="992" w:type="dxa"/>
            <w:shd w:val="clear" w:color="auto" w:fill="auto"/>
            <w:vAlign w:val="center"/>
            <w:hideMark/>
          </w:tcPr>
          <w:p w:rsidR="0028477E" w:rsidRDefault="0028477E">
            <w:pPr>
              <w:jc w:val="center"/>
              <w:rPr>
                <w:sz w:val="24"/>
              </w:rPr>
            </w:pPr>
            <w:r>
              <w:rPr>
                <w:rFonts w:hint="eastAsia"/>
              </w:rPr>
              <w:t>陆哲明</w:t>
            </w:r>
          </w:p>
        </w:tc>
        <w:tc>
          <w:tcPr>
            <w:tcW w:w="992" w:type="dxa"/>
            <w:shd w:val="clear" w:color="auto" w:fill="auto"/>
            <w:vAlign w:val="center"/>
            <w:hideMark/>
          </w:tcPr>
          <w:p w:rsidR="0028477E" w:rsidRDefault="0028477E">
            <w:pPr>
              <w:jc w:val="center"/>
              <w:rPr>
                <w:sz w:val="24"/>
              </w:rPr>
            </w:pPr>
            <w:r>
              <w:rPr>
                <w:rFonts w:hint="eastAsia"/>
              </w:rPr>
              <w:t>邓大君</w:t>
            </w:r>
            <w:r>
              <w:t xml:space="preserve">  </w:t>
            </w:r>
            <w:r>
              <w:rPr>
                <w:rFonts w:hint="eastAsia"/>
              </w:rPr>
              <w:t>陆哲明</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25</w:t>
            </w:r>
          </w:p>
        </w:tc>
        <w:tc>
          <w:tcPr>
            <w:tcW w:w="2694" w:type="dxa"/>
            <w:shd w:val="clear" w:color="auto" w:fill="auto"/>
            <w:vAlign w:val="center"/>
            <w:hideMark/>
          </w:tcPr>
          <w:p w:rsidR="0028477E" w:rsidRDefault="0028477E">
            <w:pPr>
              <w:rPr>
                <w:sz w:val="24"/>
              </w:rPr>
            </w:pPr>
            <w:r>
              <w:t>Whole Genome Sequencing and Evolutionary Analysis of Human Papillomavirus Type 16 in Central China</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2012;7(5):e36577</w:t>
            </w:r>
          </w:p>
        </w:tc>
        <w:tc>
          <w:tcPr>
            <w:tcW w:w="992" w:type="dxa"/>
            <w:shd w:val="clear" w:color="auto" w:fill="auto"/>
            <w:vAlign w:val="center"/>
            <w:hideMark/>
          </w:tcPr>
          <w:p w:rsidR="0028477E" w:rsidRDefault="0028477E">
            <w:pPr>
              <w:jc w:val="center"/>
              <w:rPr>
                <w:sz w:val="24"/>
              </w:rPr>
            </w:pPr>
            <w:r>
              <w:t>Sun Min  Gao Lei</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柯杨</w:t>
            </w:r>
            <w:r>
              <w:rPr>
                <w:rFonts w:hint="eastAsia"/>
              </w:rPr>
              <w:t xml:space="preserve">  </w:t>
            </w:r>
            <w:r>
              <w:rPr>
                <w:rFonts w:hint="eastAsia"/>
              </w:rPr>
              <w:t>外单位</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26</w:t>
            </w:r>
          </w:p>
        </w:tc>
        <w:tc>
          <w:tcPr>
            <w:tcW w:w="2694" w:type="dxa"/>
            <w:shd w:val="clear" w:color="auto" w:fill="auto"/>
            <w:vAlign w:val="center"/>
            <w:hideMark/>
          </w:tcPr>
          <w:p w:rsidR="0028477E" w:rsidRDefault="0028477E">
            <w:pPr>
              <w:rPr>
                <w:sz w:val="24"/>
              </w:rPr>
            </w:pPr>
            <w:r>
              <w:t>Transcriptional Regulation of PES1 Expression by c-Jun in Colon Cancer</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2012;7(7):e42253</w:t>
            </w:r>
          </w:p>
        </w:tc>
        <w:tc>
          <w:tcPr>
            <w:tcW w:w="992" w:type="dxa"/>
            <w:shd w:val="clear" w:color="auto" w:fill="auto"/>
            <w:vAlign w:val="center"/>
            <w:hideMark/>
          </w:tcPr>
          <w:p w:rsidR="0028477E" w:rsidRDefault="0028477E">
            <w:pPr>
              <w:jc w:val="center"/>
              <w:rPr>
                <w:sz w:val="24"/>
              </w:rPr>
            </w:pPr>
            <w:r>
              <w:t>谢玮</w:t>
            </w:r>
            <w:r>
              <w:t xml:space="preserve">   </w:t>
            </w:r>
            <w:r>
              <w:t>冯勤</w:t>
            </w:r>
          </w:p>
        </w:tc>
        <w:tc>
          <w:tcPr>
            <w:tcW w:w="992" w:type="dxa"/>
            <w:shd w:val="clear" w:color="auto" w:fill="auto"/>
            <w:vAlign w:val="center"/>
            <w:hideMark/>
          </w:tcPr>
          <w:p w:rsidR="0028477E" w:rsidRDefault="0028477E">
            <w:pPr>
              <w:jc w:val="center"/>
              <w:rPr>
                <w:sz w:val="24"/>
              </w:rPr>
            </w:pPr>
            <w:r>
              <w:t>寿成超</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624"/>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27</w:t>
            </w:r>
          </w:p>
        </w:tc>
        <w:tc>
          <w:tcPr>
            <w:tcW w:w="2694" w:type="dxa"/>
            <w:shd w:val="clear" w:color="auto" w:fill="auto"/>
            <w:vAlign w:val="center"/>
            <w:hideMark/>
          </w:tcPr>
          <w:p w:rsidR="0028477E" w:rsidRDefault="0028477E">
            <w:pPr>
              <w:rPr>
                <w:sz w:val="24"/>
              </w:rPr>
            </w:pPr>
            <w:r>
              <w:t>Identification of Serum MicroRNAs as Novel Non-Invasive Biomarkers for Early Detection of Gastric Cancer</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2012;7(3):e33608</w:t>
            </w:r>
          </w:p>
        </w:tc>
        <w:tc>
          <w:tcPr>
            <w:tcW w:w="992" w:type="dxa"/>
            <w:shd w:val="clear" w:color="auto" w:fill="auto"/>
            <w:vAlign w:val="center"/>
            <w:hideMark/>
          </w:tcPr>
          <w:p w:rsidR="0028477E" w:rsidRDefault="0028477E">
            <w:pPr>
              <w:jc w:val="center"/>
              <w:rPr>
                <w:sz w:val="24"/>
              </w:rPr>
            </w:pPr>
            <w:r>
              <w:t>宋明洋</w:t>
            </w:r>
          </w:p>
        </w:tc>
        <w:tc>
          <w:tcPr>
            <w:tcW w:w="992" w:type="dxa"/>
            <w:shd w:val="clear" w:color="auto" w:fill="auto"/>
            <w:vAlign w:val="center"/>
            <w:hideMark/>
          </w:tcPr>
          <w:p w:rsidR="0028477E" w:rsidRDefault="0028477E">
            <w:pPr>
              <w:jc w:val="center"/>
              <w:rPr>
                <w:sz w:val="24"/>
              </w:rPr>
            </w:pPr>
            <w:r>
              <w:t>游伟程</w:t>
            </w:r>
            <w:r>
              <w:t xml:space="preserve">    </w:t>
            </w:r>
            <w:r>
              <w:t>潘凯枫</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28</w:t>
            </w:r>
          </w:p>
        </w:tc>
        <w:tc>
          <w:tcPr>
            <w:tcW w:w="2694" w:type="dxa"/>
            <w:shd w:val="clear" w:color="auto" w:fill="auto"/>
            <w:vAlign w:val="center"/>
            <w:hideMark/>
          </w:tcPr>
          <w:p w:rsidR="0028477E" w:rsidRDefault="0028477E">
            <w:pPr>
              <w:rPr>
                <w:sz w:val="24"/>
              </w:rPr>
            </w:pPr>
            <w:r>
              <w:t>Integration of DNA Copy Number Alterations and Transcriptional Expression Analysis in Human Gastric Cancer</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2012;7(4):e29824</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范彪（第二单位标注）外单位</w:t>
            </w:r>
          </w:p>
        </w:tc>
        <w:tc>
          <w:tcPr>
            <w:tcW w:w="992" w:type="dxa"/>
            <w:shd w:val="clear" w:color="auto" w:fill="auto"/>
            <w:vAlign w:val="center"/>
            <w:hideMark/>
          </w:tcPr>
          <w:p w:rsidR="0028477E" w:rsidRDefault="0028477E">
            <w:pPr>
              <w:jc w:val="center"/>
              <w:rPr>
                <w:sz w:val="24"/>
              </w:rPr>
            </w:pPr>
            <w:r>
              <w:rPr>
                <w:rFonts w:hint="eastAsia"/>
              </w:rPr>
              <w:t>季加孚（三人并列，第三末位）</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560"/>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29</w:t>
            </w:r>
          </w:p>
        </w:tc>
        <w:tc>
          <w:tcPr>
            <w:tcW w:w="2694" w:type="dxa"/>
            <w:shd w:val="clear" w:color="auto" w:fill="auto"/>
            <w:vAlign w:val="center"/>
            <w:hideMark/>
          </w:tcPr>
          <w:p w:rsidR="0028477E" w:rsidRDefault="0028477E">
            <w:pPr>
              <w:jc w:val="center"/>
              <w:rPr>
                <w:sz w:val="24"/>
              </w:rPr>
            </w:pPr>
            <w:r>
              <w:t>Integrated Analysis of Gene Expression Profiles Associated with Response of Platinum/Paclitaxel-Based Treatment in Epithelial Ovarian Cancer</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jc w:val="center"/>
              <w:rPr>
                <w:sz w:val="24"/>
              </w:rPr>
            </w:pPr>
            <w:r>
              <w:t>2012;7(12):e52745</w:t>
            </w:r>
          </w:p>
        </w:tc>
        <w:tc>
          <w:tcPr>
            <w:tcW w:w="992" w:type="dxa"/>
            <w:shd w:val="clear" w:color="auto" w:fill="auto"/>
            <w:vAlign w:val="center"/>
            <w:hideMark/>
          </w:tcPr>
          <w:p w:rsidR="0028477E" w:rsidRDefault="0028477E">
            <w:pPr>
              <w:jc w:val="center"/>
              <w:rPr>
                <w:sz w:val="24"/>
              </w:rPr>
            </w:pPr>
            <w:r>
              <w:rPr>
                <w:rFonts w:hint="eastAsia"/>
              </w:rPr>
              <w:t>韩勇</w:t>
            </w:r>
            <w:r>
              <w:t xml:space="preserve">   </w:t>
            </w:r>
            <w:r>
              <w:rPr>
                <w:rFonts w:hint="eastAsia"/>
              </w:rPr>
              <w:t>黄昊</w:t>
            </w:r>
          </w:p>
        </w:tc>
        <w:tc>
          <w:tcPr>
            <w:tcW w:w="992" w:type="dxa"/>
            <w:shd w:val="clear" w:color="auto" w:fill="auto"/>
            <w:vAlign w:val="center"/>
            <w:hideMark/>
          </w:tcPr>
          <w:p w:rsidR="0028477E" w:rsidRDefault="0028477E">
            <w:pPr>
              <w:jc w:val="center"/>
              <w:rPr>
                <w:sz w:val="24"/>
              </w:rPr>
            </w:pPr>
            <w:r>
              <w:rPr>
                <w:rFonts w:hint="eastAsia"/>
              </w:rPr>
              <w:t>寿成超</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lastRenderedPageBreak/>
              <w:t>30</w:t>
            </w:r>
          </w:p>
        </w:tc>
        <w:tc>
          <w:tcPr>
            <w:tcW w:w="2694" w:type="dxa"/>
            <w:shd w:val="clear" w:color="auto" w:fill="auto"/>
            <w:vAlign w:val="center"/>
            <w:hideMark/>
          </w:tcPr>
          <w:p w:rsidR="0028477E" w:rsidRDefault="0028477E">
            <w:pPr>
              <w:rPr>
                <w:sz w:val="24"/>
              </w:rPr>
            </w:pPr>
            <w:r>
              <w:t>Quantification of Alternative Splicing Variants of Human Telomerase Reverse Transcriptase and Correlations with Telomerase Activity in Lung Cancer</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rPr>
                <w:sz w:val="24"/>
              </w:rPr>
            </w:pPr>
            <w:r>
              <w:t>2012;7(6):e38868</w:t>
            </w:r>
          </w:p>
        </w:tc>
        <w:tc>
          <w:tcPr>
            <w:tcW w:w="992" w:type="dxa"/>
            <w:shd w:val="clear" w:color="auto" w:fill="auto"/>
            <w:vAlign w:val="center"/>
            <w:hideMark/>
          </w:tcPr>
          <w:p w:rsidR="0028477E" w:rsidRDefault="0028477E">
            <w:pPr>
              <w:rPr>
                <w:sz w:val="24"/>
              </w:rPr>
            </w:pPr>
            <w:r>
              <w:t>Yan Liu</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方伟岗</w:t>
            </w:r>
            <w:r>
              <w:rPr>
                <w:rFonts w:hint="eastAsia"/>
              </w:rPr>
              <w:t xml:space="preserve">  </w:t>
            </w:r>
            <w:r>
              <w:rPr>
                <w:rFonts w:hint="eastAsia"/>
              </w:rPr>
              <w:t>田新霞</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29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31</w:t>
            </w:r>
          </w:p>
        </w:tc>
        <w:tc>
          <w:tcPr>
            <w:tcW w:w="2694" w:type="dxa"/>
            <w:shd w:val="clear" w:color="auto" w:fill="auto"/>
            <w:vAlign w:val="center"/>
            <w:hideMark/>
          </w:tcPr>
          <w:p w:rsidR="0028477E" w:rsidRDefault="0028477E">
            <w:pPr>
              <w:rPr>
                <w:sz w:val="24"/>
              </w:rPr>
            </w:pPr>
            <w:r>
              <w:t>Opposite Role of Kindlin-1 and Kindlin-2 in Lung Cancers</w:t>
            </w:r>
          </w:p>
        </w:tc>
        <w:tc>
          <w:tcPr>
            <w:tcW w:w="1417" w:type="dxa"/>
            <w:shd w:val="clear" w:color="auto" w:fill="auto"/>
            <w:vAlign w:val="center"/>
            <w:hideMark/>
          </w:tcPr>
          <w:p w:rsidR="0028477E" w:rsidRDefault="0028477E">
            <w:pPr>
              <w:jc w:val="center"/>
              <w:rPr>
                <w:sz w:val="24"/>
              </w:rPr>
            </w:pPr>
            <w:r>
              <w:t>PLoS One</w:t>
            </w:r>
          </w:p>
        </w:tc>
        <w:tc>
          <w:tcPr>
            <w:tcW w:w="1276" w:type="dxa"/>
            <w:shd w:val="clear" w:color="auto" w:fill="auto"/>
            <w:vAlign w:val="center"/>
            <w:hideMark/>
          </w:tcPr>
          <w:p w:rsidR="0028477E" w:rsidRDefault="0028477E">
            <w:pPr>
              <w:rPr>
                <w:sz w:val="24"/>
              </w:rPr>
            </w:pPr>
            <w:r>
              <w:t>2012;7(11):e50313</w:t>
            </w:r>
          </w:p>
        </w:tc>
        <w:tc>
          <w:tcPr>
            <w:tcW w:w="992" w:type="dxa"/>
            <w:shd w:val="clear" w:color="auto" w:fill="auto"/>
            <w:vAlign w:val="center"/>
            <w:hideMark/>
          </w:tcPr>
          <w:p w:rsidR="0028477E" w:rsidRDefault="0028477E">
            <w:pPr>
              <w:rPr>
                <w:rFonts w:ascii="宋体" w:hAnsi="宋体" w:cs="宋体"/>
                <w:sz w:val="24"/>
              </w:rPr>
            </w:pPr>
            <w:r>
              <w:rPr>
                <w:rFonts w:hint="eastAsia"/>
              </w:rPr>
              <w:t>战军</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张宏权</w:t>
            </w:r>
            <w:r>
              <w:rPr>
                <w:rFonts w:hint="eastAsia"/>
              </w:rPr>
              <w:t xml:space="preserve">  </w:t>
            </w:r>
            <w:r>
              <w:rPr>
                <w:rFonts w:hint="eastAsia"/>
              </w:rPr>
              <w:t>外单位</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32</w:t>
            </w:r>
          </w:p>
        </w:tc>
        <w:tc>
          <w:tcPr>
            <w:tcW w:w="2694" w:type="dxa"/>
            <w:shd w:val="clear" w:color="auto" w:fill="auto"/>
            <w:vAlign w:val="center"/>
            <w:hideMark/>
          </w:tcPr>
          <w:p w:rsidR="0028477E" w:rsidRDefault="0028477E">
            <w:pPr>
              <w:rPr>
                <w:sz w:val="24"/>
              </w:rPr>
            </w:pPr>
            <w:r>
              <w:t>Association of Germline Variation in CCNE1 and CDK2 with Breast Cancer Risk, Progression and Survival among Chinese Han Women</w:t>
            </w:r>
          </w:p>
        </w:tc>
        <w:tc>
          <w:tcPr>
            <w:tcW w:w="1417" w:type="dxa"/>
            <w:shd w:val="clear" w:color="auto" w:fill="auto"/>
            <w:vAlign w:val="center"/>
            <w:hideMark/>
          </w:tcPr>
          <w:p w:rsidR="0028477E" w:rsidRDefault="0028477E">
            <w:pPr>
              <w:jc w:val="center"/>
              <w:rPr>
                <w:sz w:val="24"/>
              </w:rPr>
            </w:pPr>
            <w:r>
              <w:t xml:space="preserve">PLoS ONE </w:t>
            </w:r>
          </w:p>
        </w:tc>
        <w:tc>
          <w:tcPr>
            <w:tcW w:w="1276" w:type="dxa"/>
            <w:shd w:val="clear" w:color="auto" w:fill="auto"/>
            <w:vAlign w:val="center"/>
            <w:hideMark/>
          </w:tcPr>
          <w:p w:rsidR="0028477E" w:rsidRDefault="0028477E">
            <w:pPr>
              <w:rPr>
                <w:sz w:val="24"/>
              </w:rPr>
            </w:pPr>
            <w:r>
              <w:t>2012;7(11):e49296</w:t>
            </w:r>
          </w:p>
        </w:tc>
        <w:tc>
          <w:tcPr>
            <w:tcW w:w="992" w:type="dxa"/>
            <w:shd w:val="clear" w:color="auto" w:fill="auto"/>
            <w:vAlign w:val="center"/>
            <w:hideMark/>
          </w:tcPr>
          <w:p w:rsidR="0028477E" w:rsidRDefault="0028477E">
            <w:pPr>
              <w:rPr>
                <w:rFonts w:ascii="宋体" w:hAnsi="宋体" w:cs="宋体"/>
                <w:sz w:val="24"/>
              </w:rPr>
            </w:pPr>
            <w:r>
              <w:rPr>
                <w:rFonts w:hint="eastAsia"/>
              </w:rPr>
              <w:t>Han Jiyuan</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方伟岗</w:t>
            </w:r>
            <w:r>
              <w:rPr>
                <w:rFonts w:hint="eastAsia"/>
              </w:rPr>
              <w:t xml:space="preserve">  </w:t>
            </w:r>
            <w:r>
              <w:rPr>
                <w:rFonts w:hint="eastAsia"/>
              </w:rPr>
              <w:t>田新霞</w:t>
            </w:r>
          </w:p>
        </w:tc>
        <w:tc>
          <w:tcPr>
            <w:tcW w:w="993" w:type="dxa"/>
            <w:shd w:val="clear" w:color="auto" w:fill="auto"/>
            <w:vAlign w:val="center"/>
            <w:hideMark/>
          </w:tcPr>
          <w:p w:rsidR="0028477E" w:rsidRDefault="0028477E">
            <w:pPr>
              <w:jc w:val="center"/>
              <w:rPr>
                <w:sz w:val="24"/>
              </w:rPr>
            </w:pPr>
            <w:r>
              <w:t>4.092</w:t>
            </w:r>
          </w:p>
        </w:tc>
      </w:tr>
      <w:tr w:rsidR="0028477E" w:rsidRPr="00C70B20" w:rsidTr="00703B1E">
        <w:trPr>
          <w:trHeight w:val="1560"/>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33</w:t>
            </w:r>
          </w:p>
        </w:tc>
        <w:tc>
          <w:tcPr>
            <w:tcW w:w="2694" w:type="dxa"/>
            <w:shd w:val="clear" w:color="auto" w:fill="auto"/>
            <w:vAlign w:val="center"/>
            <w:hideMark/>
          </w:tcPr>
          <w:p w:rsidR="0028477E" w:rsidRDefault="0028477E">
            <w:pPr>
              <w:rPr>
                <w:sz w:val="24"/>
              </w:rPr>
            </w:pPr>
            <w:r>
              <w:t xml:space="preserve">Homozygous A polymorphism of the complement </w:t>
            </w:r>
            <w:r>
              <w:rPr>
                <w:i/>
                <w:iCs/>
              </w:rPr>
              <w:t>C1qA</w:t>
            </w:r>
            <w:r>
              <w:rPr>
                <w:i/>
                <w:iCs/>
                <w:vertAlign w:val="subscript"/>
              </w:rPr>
              <w:t>276</w:t>
            </w:r>
            <w:r>
              <w:t xml:space="preserve"> correlates with prolonged overall survival in patients with diffuse large B cell lymphoma treated with R-CHOP</w:t>
            </w:r>
          </w:p>
        </w:tc>
        <w:tc>
          <w:tcPr>
            <w:tcW w:w="1417" w:type="dxa"/>
            <w:shd w:val="clear" w:color="auto" w:fill="auto"/>
            <w:vAlign w:val="center"/>
            <w:hideMark/>
          </w:tcPr>
          <w:p w:rsidR="0028477E" w:rsidRDefault="0028477E">
            <w:pPr>
              <w:jc w:val="center"/>
              <w:rPr>
                <w:sz w:val="24"/>
              </w:rPr>
            </w:pPr>
            <w:r>
              <w:t>Journal of Hematology &amp; Oncology</w:t>
            </w:r>
          </w:p>
        </w:tc>
        <w:tc>
          <w:tcPr>
            <w:tcW w:w="1276" w:type="dxa"/>
            <w:shd w:val="clear" w:color="auto" w:fill="auto"/>
            <w:vAlign w:val="center"/>
            <w:hideMark/>
          </w:tcPr>
          <w:p w:rsidR="0028477E" w:rsidRDefault="0028477E">
            <w:pPr>
              <w:jc w:val="center"/>
              <w:rPr>
                <w:sz w:val="24"/>
              </w:rPr>
            </w:pPr>
            <w:r>
              <w:t>2012;5:51</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外单位</w:t>
            </w:r>
            <w:r>
              <w:rPr>
                <w:rFonts w:hint="eastAsia"/>
              </w:rPr>
              <w:t xml:space="preserve">  </w:t>
            </w:r>
            <w:r>
              <w:rPr>
                <w:rFonts w:hint="eastAsia"/>
              </w:rPr>
              <w:t>丁慧荣</w:t>
            </w:r>
          </w:p>
        </w:tc>
        <w:tc>
          <w:tcPr>
            <w:tcW w:w="992" w:type="dxa"/>
            <w:shd w:val="clear" w:color="auto" w:fill="auto"/>
            <w:vAlign w:val="center"/>
            <w:hideMark/>
          </w:tcPr>
          <w:p w:rsidR="0028477E" w:rsidRDefault="0028477E">
            <w:pPr>
              <w:jc w:val="center"/>
              <w:rPr>
                <w:sz w:val="24"/>
              </w:rPr>
            </w:pPr>
            <w:r>
              <w:rPr>
                <w:rFonts w:hint="eastAsia"/>
              </w:rPr>
              <w:t>朱军</w:t>
            </w:r>
            <w:r>
              <w:t xml:space="preserve">   </w:t>
            </w:r>
            <w:r>
              <w:rPr>
                <w:rFonts w:hint="eastAsia"/>
              </w:rPr>
              <w:t>宋玉琴</w:t>
            </w:r>
          </w:p>
        </w:tc>
        <w:tc>
          <w:tcPr>
            <w:tcW w:w="993" w:type="dxa"/>
            <w:shd w:val="clear" w:color="auto" w:fill="auto"/>
            <w:vAlign w:val="center"/>
            <w:hideMark/>
          </w:tcPr>
          <w:p w:rsidR="0028477E" w:rsidRDefault="0028477E">
            <w:pPr>
              <w:jc w:val="center"/>
              <w:rPr>
                <w:sz w:val="24"/>
              </w:rPr>
            </w:pPr>
            <w:r>
              <w:t>3.99</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34</w:t>
            </w:r>
          </w:p>
        </w:tc>
        <w:tc>
          <w:tcPr>
            <w:tcW w:w="2694" w:type="dxa"/>
            <w:shd w:val="clear" w:color="auto" w:fill="auto"/>
            <w:vAlign w:val="center"/>
            <w:hideMark/>
          </w:tcPr>
          <w:p w:rsidR="0028477E" w:rsidRDefault="0028477E">
            <w:pPr>
              <w:rPr>
                <w:sz w:val="24"/>
              </w:rPr>
            </w:pPr>
            <w:r>
              <w:t>FERM-containing protein FRMD5 is a p120-catenin interacting protein that</w:t>
            </w:r>
            <w:r>
              <w:br/>
              <w:t>regulates tumor progression</w:t>
            </w:r>
          </w:p>
        </w:tc>
        <w:tc>
          <w:tcPr>
            <w:tcW w:w="1417" w:type="dxa"/>
            <w:shd w:val="clear" w:color="auto" w:fill="auto"/>
            <w:vAlign w:val="center"/>
            <w:hideMark/>
          </w:tcPr>
          <w:p w:rsidR="0028477E" w:rsidRDefault="0028477E">
            <w:pPr>
              <w:jc w:val="center"/>
              <w:rPr>
                <w:sz w:val="24"/>
              </w:rPr>
            </w:pPr>
            <w:r>
              <w:t xml:space="preserve">FEBS Letters </w:t>
            </w:r>
          </w:p>
        </w:tc>
        <w:tc>
          <w:tcPr>
            <w:tcW w:w="1276" w:type="dxa"/>
            <w:shd w:val="clear" w:color="auto" w:fill="auto"/>
            <w:vAlign w:val="center"/>
            <w:hideMark/>
          </w:tcPr>
          <w:p w:rsidR="0028477E" w:rsidRDefault="0028477E">
            <w:pPr>
              <w:rPr>
                <w:sz w:val="24"/>
              </w:rPr>
            </w:pPr>
            <w:r>
              <w:t>2012;586:3044-3050</w:t>
            </w:r>
          </w:p>
        </w:tc>
        <w:tc>
          <w:tcPr>
            <w:tcW w:w="992" w:type="dxa"/>
            <w:shd w:val="clear" w:color="auto" w:fill="auto"/>
            <w:vAlign w:val="center"/>
            <w:hideMark/>
          </w:tcPr>
          <w:p w:rsidR="0028477E" w:rsidRDefault="0028477E">
            <w:pPr>
              <w:rPr>
                <w:sz w:val="24"/>
              </w:rPr>
            </w:pPr>
            <w:r>
              <w:t>Tao Wang</w:t>
            </w:r>
          </w:p>
        </w:tc>
        <w:tc>
          <w:tcPr>
            <w:tcW w:w="992" w:type="dxa"/>
            <w:shd w:val="clear" w:color="auto" w:fill="auto"/>
            <w:vAlign w:val="center"/>
            <w:hideMark/>
          </w:tcPr>
          <w:p w:rsidR="0028477E" w:rsidRDefault="0028477E">
            <w:pPr>
              <w:jc w:val="center"/>
              <w:rPr>
                <w:rFonts w:ascii="宋体" w:hAnsi="宋体" w:cs="宋体"/>
                <w:sz w:val="24"/>
              </w:rPr>
            </w:pPr>
            <w:r>
              <w:rPr>
                <w:rFonts w:hint="eastAsia"/>
              </w:rPr>
              <w:t>张宏权</w:t>
            </w:r>
          </w:p>
        </w:tc>
        <w:tc>
          <w:tcPr>
            <w:tcW w:w="993" w:type="dxa"/>
            <w:shd w:val="clear" w:color="auto" w:fill="auto"/>
            <w:vAlign w:val="center"/>
            <w:hideMark/>
          </w:tcPr>
          <w:p w:rsidR="0028477E" w:rsidRDefault="0028477E">
            <w:pPr>
              <w:jc w:val="center"/>
              <w:rPr>
                <w:sz w:val="24"/>
              </w:rPr>
            </w:pPr>
            <w:r>
              <w:t>3.538</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35</w:t>
            </w:r>
          </w:p>
        </w:tc>
        <w:tc>
          <w:tcPr>
            <w:tcW w:w="2694" w:type="dxa"/>
            <w:shd w:val="clear" w:color="auto" w:fill="auto"/>
            <w:vAlign w:val="center"/>
            <w:hideMark/>
          </w:tcPr>
          <w:p w:rsidR="0028477E" w:rsidRDefault="0028477E">
            <w:pPr>
              <w:rPr>
                <w:sz w:val="24"/>
              </w:rPr>
            </w:pPr>
            <w:r>
              <w:t>Marsdenia tenacissima extract restored gefitinib sensitivity in resistant non-small cell lung cancer cells</w:t>
            </w:r>
          </w:p>
        </w:tc>
        <w:tc>
          <w:tcPr>
            <w:tcW w:w="1417" w:type="dxa"/>
            <w:shd w:val="clear" w:color="auto" w:fill="auto"/>
            <w:vAlign w:val="center"/>
            <w:hideMark/>
          </w:tcPr>
          <w:p w:rsidR="0028477E" w:rsidRDefault="0028477E">
            <w:pPr>
              <w:jc w:val="center"/>
              <w:rPr>
                <w:sz w:val="24"/>
              </w:rPr>
            </w:pPr>
            <w:r>
              <w:t>Lung Cancer</w:t>
            </w:r>
          </w:p>
        </w:tc>
        <w:tc>
          <w:tcPr>
            <w:tcW w:w="1276" w:type="dxa"/>
            <w:shd w:val="clear" w:color="auto" w:fill="auto"/>
            <w:vAlign w:val="center"/>
            <w:hideMark/>
          </w:tcPr>
          <w:p w:rsidR="0028477E" w:rsidRDefault="0028477E">
            <w:pPr>
              <w:jc w:val="center"/>
              <w:rPr>
                <w:sz w:val="24"/>
              </w:rPr>
            </w:pPr>
            <w:r>
              <w:t>2012;75(1):30-37</w:t>
            </w:r>
          </w:p>
        </w:tc>
        <w:tc>
          <w:tcPr>
            <w:tcW w:w="992" w:type="dxa"/>
            <w:shd w:val="clear" w:color="auto" w:fill="auto"/>
            <w:vAlign w:val="center"/>
            <w:hideMark/>
          </w:tcPr>
          <w:p w:rsidR="0028477E" w:rsidRDefault="0028477E">
            <w:pPr>
              <w:jc w:val="center"/>
              <w:rPr>
                <w:sz w:val="24"/>
              </w:rPr>
            </w:pPr>
            <w:r>
              <w:rPr>
                <w:rFonts w:hint="eastAsia"/>
              </w:rPr>
              <w:t>韩淑燕</w:t>
            </w:r>
          </w:p>
        </w:tc>
        <w:tc>
          <w:tcPr>
            <w:tcW w:w="992" w:type="dxa"/>
            <w:shd w:val="clear" w:color="auto" w:fill="auto"/>
            <w:vAlign w:val="center"/>
            <w:hideMark/>
          </w:tcPr>
          <w:p w:rsidR="0028477E" w:rsidRDefault="0028477E">
            <w:pPr>
              <w:jc w:val="center"/>
              <w:rPr>
                <w:sz w:val="24"/>
              </w:rPr>
            </w:pPr>
            <w:r>
              <w:rPr>
                <w:rFonts w:hint="eastAsia"/>
              </w:rPr>
              <w:t>李萍萍</w:t>
            </w:r>
          </w:p>
        </w:tc>
        <w:tc>
          <w:tcPr>
            <w:tcW w:w="993" w:type="dxa"/>
            <w:shd w:val="clear" w:color="auto" w:fill="auto"/>
            <w:vAlign w:val="center"/>
            <w:hideMark/>
          </w:tcPr>
          <w:p w:rsidR="0028477E" w:rsidRDefault="0028477E">
            <w:pPr>
              <w:jc w:val="center"/>
              <w:rPr>
                <w:sz w:val="24"/>
              </w:rPr>
            </w:pPr>
            <w:r>
              <w:t>3.434</w:t>
            </w:r>
          </w:p>
        </w:tc>
      </w:tr>
      <w:tr w:rsidR="0028477E" w:rsidRPr="00C70B20" w:rsidTr="00703B1E">
        <w:trPr>
          <w:trHeight w:val="1248"/>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36</w:t>
            </w:r>
          </w:p>
        </w:tc>
        <w:tc>
          <w:tcPr>
            <w:tcW w:w="2694" w:type="dxa"/>
            <w:shd w:val="clear" w:color="auto" w:fill="auto"/>
            <w:vAlign w:val="center"/>
            <w:hideMark/>
          </w:tcPr>
          <w:p w:rsidR="0028477E" w:rsidRDefault="0028477E">
            <w:pPr>
              <w:rPr>
                <w:sz w:val="24"/>
              </w:rPr>
            </w:pPr>
            <w:r>
              <w:t>Molecular interactions of re-released proteins in electrophoresis of human erythrocytes</w:t>
            </w:r>
          </w:p>
        </w:tc>
        <w:tc>
          <w:tcPr>
            <w:tcW w:w="1417" w:type="dxa"/>
            <w:shd w:val="clear" w:color="auto" w:fill="auto"/>
            <w:vAlign w:val="center"/>
            <w:hideMark/>
          </w:tcPr>
          <w:p w:rsidR="0028477E" w:rsidRDefault="0028477E">
            <w:pPr>
              <w:jc w:val="center"/>
              <w:rPr>
                <w:sz w:val="24"/>
              </w:rPr>
            </w:pPr>
            <w:r>
              <w:t xml:space="preserve">Electrophoresis </w:t>
            </w:r>
          </w:p>
        </w:tc>
        <w:tc>
          <w:tcPr>
            <w:tcW w:w="1276" w:type="dxa"/>
            <w:shd w:val="clear" w:color="auto" w:fill="auto"/>
            <w:vAlign w:val="center"/>
            <w:hideMark/>
          </w:tcPr>
          <w:p w:rsidR="0028477E" w:rsidRDefault="0028477E">
            <w:pPr>
              <w:jc w:val="center"/>
              <w:rPr>
                <w:sz w:val="24"/>
              </w:rPr>
            </w:pPr>
            <w:r>
              <w:t>2012;33:1402-1405</w:t>
            </w:r>
          </w:p>
        </w:tc>
        <w:tc>
          <w:tcPr>
            <w:tcW w:w="992" w:type="dxa"/>
            <w:shd w:val="clear" w:color="auto" w:fill="auto"/>
            <w:vAlign w:val="center"/>
            <w:hideMark/>
          </w:tcPr>
          <w:p w:rsidR="0028477E" w:rsidRDefault="0028477E">
            <w:pPr>
              <w:jc w:val="center"/>
              <w:rPr>
                <w:sz w:val="24"/>
              </w:rPr>
            </w:pPr>
            <w:r>
              <w:t>外单位沈靖</w:t>
            </w:r>
          </w:p>
        </w:tc>
        <w:tc>
          <w:tcPr>
            <w:tcW w:w="992" w:type="dxa"/>
            <w:shd w:val="clear" w:color="auto" w:fill="auto"/>
            <w:vAlign w:val="center"/>
            <w:hideMark/>
          </w:tcPr>
          <w:p w:rsidR="0028477E" w:rsidRDefault="0028477E">
            <w:pPr>
              <w:jc w:val="center"/>
              <w:rPr>
                <w:sz w:val="24"/>
              </w:rPr>
            </w:pPr>
            <w:r>
              <w:t>外单位</w:t>
            </w:r>
          </w:p>
        </w:tc>
        <w:tc>
          <w:tcPr>
            <w:tcW w:w="993" w:type="dxa"/>
            <w:shd w:val="clear" w:color="auto" w:fill="auto"/>
            <w:vAlign w:val="center"/>
            <w:hideMark/>
          </w:tcPr>
          <w:p w:rsidR="0028477E" w:rsidRDefault="0028477E">
            <w:pPr>
              <w:jc w:val="center"/>
              <w:rPr>
                <w:sz w:val="24"/>
              </w:rPr>
            </w:pPr>
            <w:r>
              <w:t>3.303</w:t>
            </w:r>
          </w:p>
        </w:tc>
      </w:tr>
      <w:tr w:rsidR="0028477E" w:rsidRPr="00C70B20" w:rsidTr="00703B1E">
        <w:trPr>
          <w:trHeight w:val="1560"/>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37</w:t>
            </w:r>
          </w:p>
        </w:tc>
        <w:tc>
          <w:tcPr>
            <w:tcW w:w="2694" w:type="dxa"/>
            <w:shd w:val="clear" w:color="auto" w:fill="auto"/>
            <w:vAlign w:val="center"/>
            <w:hideMark/>
          </w:tcPr>
          <w:p w:rsidR="0028477E" w:rsidRDefault="0028477E">
            <w:pPr>
              <w:rPr>
                <w:sz w:val="24"/>
              </w:rPr>
            </w:pPr>
            <w:r>
              <w:t>Efficacy and safety of sunitinib in Chinese patients with imatinib-resistant or -intolerant gastrointestinal stromal tumors</w:t>
            </w:r>
          </w:p>
        </w:tc>
        <w:tc>
          <w:tcPr>
            <w:tcW w:w="1417" w:type="dxa"/>
            <w:shd w:val="clear" w:color="auto" w:fill="auto"/>
            <w:vAlign w:val="center"/>
            <w:hideMark/>
          </w:tcPr>
          <w:p w:rsidR="0028477E" w:rsidRDefault="0028477E">
            <w:pPr>
              <w:jc w:val="center"/>
              <w:rPr>
                <w:sz w:val="24"/>
              </w:rPr>
            </w:pPr>
            <w:r>
              <w:t>Future Oncology</w:t>
            </w:r>
          </w:p>
        </w:tc>
        <w:tc>
          <w:tcPr>
            <w:tcW w:w="1276" w:type="dxa"/>
            <w:shd w:val="clear" w:color="auto" w:fill="auto"/>
            <w:vAlign w:val="center"/>
            <w:hideMark/>
          </w:tcPr>
          <w:p w:rsidR="0028477E" w:rsidRDefault="0028477E">
            <w:pPr>
              <w:jc w:val="center"/>
              <w:rPr>
                <w:sz w:val="24"/>
              </w:rPr>
            </w:pPr>
            <w:r>
              <w:t>2012;8(5):617-624</w:t>
            </w:r>
          </w:p>
        </w:tc>
        <w:tc>
          <w:tcPr>
            <w:tcW w:w="992" w:type="dxa"/>
            <w:shd w:val="clear" w:color="auto" w:fill="auto"/>
            <w:vAlign w:val="center"/>
            <w:hideMark/>
          </w:tcPr>
          <w:p w:rsidR="0028477E" w:rsidRDefault="0028477E">
            <w:pPr>
              <w:jc w:val="center"/>
              <w:rPr>
                <w:sz w:val="24"/>
              </w:rPr>
            </w:pPr>
            <w:r>
              <w:t>李健</w:t>
            </w:r>
          </w:p>
        </w:tc>
        <w:tc>
          <w:tcPr>
            <w:tcW w:w="992" w:type="dxa"/>
            <w:shd w:val="clear" w:color="auto" w:fill="auto"/>
            <w:vAlign w:val="center"/>
            <w:hideMark/>
          </w:tcPr>
          <w:p w:rsidR="0028477E" w:rsidRDefault="0028477E">
            <w:pPr>
              <w:jc w:val="center"/>
              <w:rPr>
                <w:sz w:val="24"/>
              </w:rPr>
            </w:pPr>
            <w:r>
              <w:t>沈琳</w:t>
            </w:r>
          </w:p>
        </w:tc>
        <w:tc>
          <w:tcPr>
            <w:tcW w:w="993" w:type="dxa"/>
            <w:shd w:val="clear" w:color="auto" w:fill="auto"/>
            <w:vAlign w:val="center"/>
            <w:hideMark/>
          </w:tcPr>
          <w:p w:rsidR="0028477E" w:rsidRDefault="0028477E">
            <w:pPr>
              <w:jc w:val="center"/>
              <w:rPr>
                <w:sz w:val="24"/>
              </w:rPr>
            </w:pPr>
            <w:r>
              <w:t>3.163</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lastRenderedPageBreak/>
              <w:t>38</w:t>
            </w:r>
          </w:p>
        </w:tc>
        <w:tc>
          <w:tcPr>
            <w:tcW w:w="2694" w:type="dxa"/>
            <w:shd w:val="clear" w:color="auto" w:fill="auto"/>
            <w:vAlign w:val="center"/>
            <w:hideMark/>
          </w:tcPr>
          <w:p w:rsidR="0028477E" w:rsidRDefault="0028477E">
            <w:pPr>
              <w:rPr>
                <w:sz w:val="24"/>
              </w:rPr>
            </w:pPr>
            <w:r>
              <w:t>Presence of S100A9-positive inflammatory cells in cancer tissues correlates with an early stage cancer and a better prognosis in patients with gastric cancer</w:t>
            </w:r>
          </w:p>
        </w:tc>
        <w:tc>
          <w:tcPr>
            <w:tcW w:w="1417" w:type="dxa"/>
            <w:shd w:val="clear" w:color="auto" w:fill="auto"/>
            <w:vAlign w:val="center"/>
            <w:hideMark/>
          </w:tcPr>
          <w:p w:rsidR="0028477E" w:rsidRDefault="0028477E">
            <w:pPr>
              <w:jc w:val="center"/>
              <w:rPr>
                <w:sz w:val="24"/>
              </w:rPr>
            </w:pPr>
            <w:r>
              <w:t xml:space="preserve">BMC Cancer </w:t>
            </w:r>
          </w:p>
        </w:tc>
        <w:tc>
          <w:tcPr>
            <w:tcW w:w="1276" w:type="dxa"/>
            <w:shd w:val="clear" w:color="auto" w:fill="auto"/>
            <w:vAlign w:val="center"/>
            <w:hideMark/>
          </w:tcPr>
          <w:p w:rsidR="0028477E" w:rsidRDefault="0028477E">
            <w:pPr>
              <w:jc w:val="center"/>
              <w:rPr>
                <w:sz w:val="24"/>
              </w:rPr>
            </w:pPr>
            <w:r>
              <w:t>2012;12:316</w:t>
            </w:r>
          </w:p>
        </w:tc>
        <w:tc>
          <w:tcPr>
            <w:tcW w:w="992" w:type="dxa"/>
            <w:shd w:val="clear" w:color="auto" w:fill="auto"/>
            <w:vAlign w:val="center"/>
            <w:hideMark/>
          </w:tcPr>
          <w:p w:rsidR="0028477E" w:rsidRDefault="0028477E">
            <w:pPr>
              <w:jc w:val="center"/>
              <w:rPr>
                <w:sz w:val="24"/>
              </w:rPr>
            </w:pPr>
            <w:r>
              <w:rPr>
                <w:rFonts w:hint="eastAsia"/>
              </w:rPr>
              <w:t>范彪</w:t>
            </w:r>
            <w:r>
              <w:t xml:space="preserve">  </w:t>
            </w:r>
            <w:r>
              <w:rPr>
                <w:rFonts w:hint="eastAsia"/>
              </w:rPr>
              <w:t>张连海</w:t>
            </w:r>
          </w:p>
        </w:tc>
        <w:tc>
          <w:tcPr>
            <w:tcW w:w="992" w:type="dxa"/>
            <w:shd w:val="clear" w:color="auto" w:fill="auto"/>
            <w:vAlign w:val="center"/>
            <w:hideMark/>
          </w:tcPr>
          <w:p w:rsidR="0028477E" w:rsidRDefault="0028477E">
            <w:pPr>
              <w:jc w:val="center"/>
              <w:rPr>
                <w:sz w:val="24"/>
              </w:rPr>
            </w:pPr>
            <w:r>
              <w:rPr>
                <w:rFonts w:hint="eastAsia"/>
              </w:rPr>
              <w:t>季加孚</w:t>
            </w:r>
          </w:p>
        </w:tc>
        <w:tc>
          <w:tcPr>
            <w:tcW w:w="993" w:type="dxa"/>
            <w:shd w:val="clear" w:color="auto" w:fill="auto"/>
            <w:vAlign w:val="center"/>
            <w:hideMark/>
          </w:tcPr>
          <w:p w:rsidR="0028477E" w:rsidRDefault="0028477E">
            <w:pPr>
              <w:jc w:val="center"/>
              <w:rPr>
                <w:sz w:val="24"/>
              </w:rPr>
            </w:pPr>
            <w:r>
              <w:t>3.011</w:t>
            </w:r>
          </w:p>
        </w:tc>
      </w:tr>
      <w:tr w:rsidR="0028477E" w:rsidRPr="00C70B20" w:rsidTr="00703B1E">
        <w:trPr>
          <w:trHeight w:val="936"/>
        </w:trPr>
        <w:tc>
          <w:tcPr>
            <w:tcW w:w="567" w:type="dxa"/>
            <w:vAlign w:val="center"/>
          </w:tcPr>
          <w:p w:rsidR="0028477E" w:rsidRPr="00703B1E" w:rsidRDefault="0028477E" w:rsidP="00880871">
            <w:pPr>
              <w:widowControl/>
              <w:jc w:val="center"/>
              <w:rPr>
                <w:kern w:val="0"/>
                <w:szCs w:val="21"/>
              </w:rPr>
            </w:pPr>
            <w:r w:rsidRPr="00703B1E">
              <w:rPr>
                <w:rFonts w:hint="eastAsia"/>
                <w:kern w:val="0"/>
                <w:szCs w:val="21"/>
              </w:rPr>
              <w:t>39</w:t>
            </w:r>
          </w:p>
        </w:tc>
        <w:tc>
          <w:tcPr>
            <w:tcW w:w="2694" w:type="dxa"/>
            <w:shd w:val="clear" w:color="auto" w:fill="auto"/>
            <w:vAlign w:val="center"/>
            <w:hideMark/>
          </w:tcPr>
          <w:p w:rsidR="0028477E" w:rsidRDefault="0028477E">
            <w:pPr>
              <w:jc w:val="center"/>
              <w:rPr>
                <w:sz w:val="24"/>
              </w:rPr>
            </w:pPr>
            <w:r>
              <w:t>Characterization of human gastric carcinomarelated methylation of 9 miR CpG islands and repression of their expressions in vitro and in vivo</w:t>
            </w:r>
          </w:p>
        </w:tc>
        <w:tc>
          <w:tcPr>
            <w:tcW w:w="1417" w:type="dxa"/>
            <w:shd w:val="clear" w:color="auto" w:fill="auto"/>
            <w:vAlign w:val="center"/>
            <w:hideMark/>
          </w:tcPr>
          <w:p w:rsidR="0028477E" w:rsidRDefault="0028477E">
            <w:pPr>
              <w:jc w:val="center"/>
              <w:rPr>
                <w:sz w:val="24"/>
              </w:rPr>
            </w:pPr>
            <w:r>
              <w:t xml:space="preserve">BMC Cancer </w:t>
            </w:r>
          </w:p>
        </w:tc>
        <w:tc>
          <w:tcPr>
            <w:tcW w:w="1276" w:type="dxa"/>
            <w:shd w:val="clear" w:color="auto" w:fill="auto"/>
            <w:vAlign w:val="center"/>
            <w:hideMark/>
          </w:tcPr>
          <w:p w:rsidR="0028477E" w:rsidRDefault="0028477E">
            <w:pPr>
              <w:jc w:val="center"/>
              <w:rPr>
                <w:sz w:val="24"/>
              </w:rPr>
            </w:pPr>
            <w:r>
              <w:t>2012;12:249</w:t>
            </w:r>
          </w:p>
        </w:tc>
        <w:tc>
          <w:tcPr>
            <w:tcW w:w="992" w:type="dxa"/>
            <w:shd w:val="clear" w:color="auto" w:fill="auto"/>
            <w:vAlign w:val="center"/>
            <w:hideMark/>
          </w:tcPr>
          <w:p w:rsidR="0028477E" w:rsidRDefault="0028477E">
            <w:pPr>
              <w:jc w:val="center"/>
              <w:rPr>
                <w:sz w:val="24"/>
              </w:rPr>
            </w:pPr>
            <w:r>
              <w:rPr>
                <w:rFonts w:hint="eastAsia"/>
              </w:rPr>
              <w:t>杜艳涛</w:t>
            </w:r>
          </w:p>
        </w:tc>
        <w:tc>
          <w:tcPr>
            <w:tcW w:w="992" w:type="dxa"/>
            <w:shd w:val="clear" w:color="auto" w:fill="auto"/>
            <w:vAlign w:val="center"/>
            <w:hideMark/>
          </w:tcPr>
          <w:p w:rsidR="0028477E" w:rsidRDefault="0028477E">
            <w:pPr>
              <w:jc w:val="center"/>
              <w:rPr>
                <w:sz w:val="24"/>
              </w:rPr>
            </w:pPr>
            <w:r>
              <w:rPr>
                <w:rFonts w:hint="eastAsia"/>
              </w:rPr>
              <w:t>邓大君</w:t>
            </w:r>
          </w:p>
        </w:tc>
        <w:tc>
          <w:tcPr>
            <w:tcW w:w="993" w:type="dxa"/>
            <w:shd w:val="clear" w:color="auto" w:fill="auto"/>
            <w:vAlign w:val="center"/>
            <w:hideMark/>
          </w:tcPr>
          <w:p w:rsidR="0028477E" w:rsidRDefault="0028477E">
            <w:pPr>
              <w:jc w:val="center"/>
              <w:rPr>
                <w:sz w:val="24"/>
              </w:rPr>
            </w:pPr>
            <w:r>
              <w:t>3.011</w:t>
            </w:r>
          </w:p>
        </w:tc>
      </w:tr>
    </w:tbl>
    <w:p w:rsidR="003C656E" w:rsidRDefault="003C656E" w:rsidP="003C656E">
      <w:pPr>
        <w:rPr>
          <w:rFonts w:ascii="仿宋_GB2312" w:eastAsia="仿宋_GB2312"/>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本年度申请及授权专利数</w:t>
      </w:r>
    </w:p>
    <w:p w:rsidR="009C30D6" w:rsidRPr="009C30D6" w:rsidRDefault="009C30D6" w:rsidP="00FC5A0B">
      <w:pPr>
        <w:widowControl/>
        <w:spacing w:beforeLines="50" w:line="360" w:lineRule="auto"/>
        <w:ind w:firstLineChars="200" w:firstLine="480"/>
        <w:jc w:val="left"/>
        <w:rPr>
          <w:rFonts w:ascii="宋体" w:hAnsi="宋体"/>
          <w:sz w:val="24"/>
        </w:rPr>
      </w:pPr>
      <w:r w:rsidRPr="009C30D6">
        <w:rPr>
          <w:rFonts w:ascii="宋体" w:hAnsi="宋体" w:hint="eastAsia"/>
          <w:sz w:val="24"/>
        </w:rPr>
        <w:t>201</w:t>
      </w:r>
      <w:r>
        <w:rPr>
          <w:rFonts w:ascii="宋体" w:hAnsi="宋体" w:hint="eastAsia"/>
          <w:sz w:val="24"/>
        </w:rPr>
        <w:t>2</w:t>
      </w:r>
      <w:r w:rsidRPr="009C30D6">
        <w:rPr>
          <w:rFonts w:ascii="宋体" w:hAnsi="宋体" w:hint="eastAsia"/>
          <w:sz w:val="24"/>
        </w:rPr>
        <w:t>年申请发明专利</w:t>
      </w:r>
      <w:r>
        <w:rPr>
          <w:rFonts w:ascii="宋体" w:hAnsi="宋体" w:hint="eastAsia"/>
          <w:sz w:val="24"/>
        </w:rPr>
        <w:t>4</w:t>
      </w:r>
      <w:r w:rsidRPr="009C30D6">
        <w:rPr>
          <w:rFonts w:ascii="宋体" w:hAnsi="宋体" w:hint="eastAsia"/>
          <w:sz w:val="24"/>
        </w:rPr>
        <w:t>项，获授权发明专利</w:t>
      </w:r>
      <w:r>
        <w:rPr>
          <w:rFonts w:ascii="宋体" w:hAnsi="宋体" w:hint="eastAsia"/>
          <w:sz w:val="24"/>
        </w:rPr>
        <w:t>5</w:t>
      </w:r>
      <w:r w:rsidRPr="009C30D6">
        <w:rPr>
          <w:rFonts w:ascii="宋体" w:hAnsi="宋体" w:hint="eastAsia"/>
          <w:sz w:val="24"/>
        </w:rPr>
        <w:t>项。</w:t>
      </w:r>
    </w:p>
    <w:p w:rsidR="005E411D" w:rsidRPr="005E411D" w:rsidRDefault="005E411D" w:rsidP="005E411D">
      <w:pPr>
        <w:widowControl/>
        <w:jc w:val="center"/>
        <w:rPr>
          <w:rFonts w:ascii="宋体" w:hAnsi="宋体" w:cs="宋体"/>
          <w:b/>
          <w:bCs/>
          <w:kern w:val="0"/>
          <w:sz w:val="20"/>
          <w:szCs w:val="20"/>
        </w:rPr>
      </w:pPr>
      <w:r>
        <w:rPr>
          <w:rFonts w:ascii="宋体" w:hAnsi="宋体" w:cs="宋体" w:hint="eastAsia"/>
          <w:b/>
          <w:bCs/>
          <w:kern w:val="0"/>
          <w:sz w:val="20"/>
          <w:szCs w:val="20"/>
        </w:rPr>
        <w:t>申请专利情况</w:t>
      </w:r>
    </w:p>
    <w:tbl>
      <w:tblPr>
        <w:tblW w:w="9077" w:type="dxa"/>
        <w:tblInd w:w="103" w:type="dxa"/>
        <w:tblLayout w:type="fixed"/>
        <w:tblLook w:val="04A0"/>
      </w:tblPr>
      <w:tblGrid>
        <w:gridCol w:w="572"/>
        <w:gridCol w:w="1276"/>
        <w:gridCol w:w="709"/>
        <w:gridCol w:w="1984"/>
        <w:gridCol w:w="1701"/>
        <w:gridCol w:w="1276"/>
        <w:gridCol w:w="1559"/>
      </w:tblGrid>
      <w:tr w:rsidR="005E411D" w:rsidRPr="005E411D" w:rsidTr="005E411D">
        <w:trPr>
          <w:trHeight w:val="480"/>
        </w:trPr>
        <w:tc>
          <w:tcPr>
            <w:tcW w:w="572" w:type="dxa"/>
            <w:tcBorders>
              <w:top w:val="single" w:sz="4" w:space="0" w:color="auto"/>
              <w:left w:val="single" w:sz="4" w:space="0" w:color="auto"/>
              <w:bottom w:val="single" w:sz="4" w:space="0" w:color="auto"/>
              <w:right w:val="single" w:sz="4" w:space="0" w:color="auto"/>
            </w:tcBorders>
            <w:vAlign w:val="center"/>
          </w:tcPr>
          <w:p w:rsidR="005E411D" w:rsidRPr="005E411D" w:rsidRDefault="005E411D" w:rsidP="005E411D">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专利类型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发明人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申请人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申请日</w:t>
            </w:r>
          </w:p>
        </w:tc>
      </w:tr>
      <w:tr w:rsidR="005E411D" w:rsidRPr="005E411D" w:rsidTr="005E411D">
        <w:trPr>
          <w:trHeight w:val="1440"/>
        </w:trPr>
        <w:tc>
          <w:tcPr>
            <w:tcW w:w="572" w:type="dxa"/>
            <w:tcBorders>
              <w:top w:val="nil"/>
              <w:left w:val="single" w:sz="4" w:space="0" w:color="auto"/>
              <w:bottom w:val="single" w:sz="4" w:space="0" w:color="auto"/>
              <w:right w:val="single" w:sz="4" w:space="0" w:color="auto"/>
            </w:tcBorders>
            <w:vAlign w:val="center"/>
          </w:tcPr>
          <w:p w:rsidR="005E411D" w:rsidRPr="005E411D" w:rsidRDefault="005E411D" w:rsidP="005E411D">
            <w:pPr>
              <w:widowControl/>
              <w:jc w:val="center"/>
              <w:rPr>
                <w:rFonts w:ascii="宋体" w:hAnsi="宋体" w:cs="宋体"/>
                <w:kern w:val="0"/>
                <w:sz w:val="20"/>
                <w:szCs w:val="20"/>
              </w:rPr>
            </w:pPr>
            <w:r>
              <w:rPr>
                <w:rFonts w:ascii="宋体" w:hAnsi="宋体" w:cs="宋体" w:hint="eastAsia"/>
                <w:kern w:val="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PCT/CN2012/000169</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利用癌基因去甲基化体外测定肿瘤发生和转移新方法及所有人工核苷酸序列</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邓大君、张君、刘兆君、周静、谷连坤、张宝珍</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2012.2.13</w:t>
            </w:r>
          </w:p>
        </w:tc>
      </w:tr>
      <w:tr w:rsidR="005E411D" w:rsidRPr="005E411D" w:rsidTr="005E411D">
        <w:trPr>
          <w:trHeight w:val="1200"/>
        </w:trPr>
        <w:tc>
          <w:tcPr>
            <w:tcW w:w="572" w:type="dxa"/>
            <w:tcBorders>
              <w:top w:val="nil"/>
              <w:left w:val="single" w:sz="4" w:space="0" w:color="auto"/>
              <w:bottom w:val="single" w:sz="4" w:space="0" w:color="auto"/>
              <w:right w:val="single" w:sz="4" w:space="0" w:color="auto"/>
            </w:tcBorders>
            <w:vAlign w:val="center"/>
          </w:tcPr>
          <w:p w:rsidR="005E411D" w:rsidRPr="005E411D" w:rsidRDefault="005E411D" w:rsidP="005E411D">
            <w:pPr>
              <w:widowControl/>
              <w:jc w:val="center"/>
              <w:rPr>
                <w:rFonts w:ascii="宋体" w:hAnsi="宋体" w:cs="宋体"/>
                <w:kern w:val="0"/>
                <w:sz w:val="20"/>
                <w:szCs w:val="20"/>
              </w:rPr>
            </w:pPr>
            <w:r>
              <w:rPr>
                <w:rFonts w:ascii="宋体" w:hAnsi="宋体" w:cs="宋体" w:hint="eastAsia"/>
                <w:kern w:val="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201210032939.7</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基于IGFBP-2自身抗体或其与IFGBP-2联合的检测的肿瘤诊断试剂盒或试剂盒及应用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宋韦、李雨晨</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2012.2.14</w:t>
            </w:r>
          </w:p>
        </w:tc>
      </w:tr>
      <w:tr w:rsidR="005E411D" w:rsidRPr="005E411D" w:rsidTr="005E411D">
        <w:trPr>
          <w:trHeight w:val="1200"/>
        </w:trPr>
        <w:tc>
          <w:tcPr>
            <w:tcW w:w="572" w:type="dxa"/>
            <w:tcBorders>
              <w:top w:val="nil"/>
              <w:left w:val="single" w:sz="4" w:space="0" w:color="auto"/>
              <w:bottom w:val="single" w:sz="4" w:space="0" w:color="auto"/>
              <w:right w:val="single" w:sz="4" w:space="0" w:color="auto"/>
            </w:tcBorders>
            <w:vAlign w:val="center"/>
          </w:tcPr>
          <w:p w:rsidR="005E411D" w:rsidRPr="005E411D" w:rsidRDefault="005E411D" w:rsidP="005E411D">
            <w:pPr>
              <w:widowControl/>
              <w:jc w:val="center"/>
              <w:rPr>
                <w:rFonts w:ascii="宋体" w:hAnsi="宋体" w:cs="宋体"/>
                <w:kern w:val="0"/>
                <w:sz w:val="20"/>
                <w:szCs w:val="20"/>
              </w:rPr>
            </w:pPr>
            <w:r>
              <w:rPr>
                <w:rFonts w:ascii="宋体" w:hAnsi="宋体" w:cs="宋体" w:hint="eastAsia"/>
                <w:kern w:val="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PCT/CN2012/000227</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一个识别肿瘤起始细胞的抗体和抗原及其应用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张志谦、赵威、王力民、韩海勃、邢宝才</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2012.2.22</w:t>
            </w:r>
          </w:p>
        </w:tc>
      </w:tr>
      <w:tr w:rsidR="005E411D" w:rsidRPr="005E411D" w:rsidTr="005E411D">
        <w:trPr>
          <w:trHeight w:val="1200"/>
        </w:trPr>
        <w:tc>
          <w:tcPr>
            <w:tcW w:w="572" w:type="dxa"/>
            <w:tcBorders>
              <w:top w:val="nil"/>
              <w:left w:val="single" w:sz="4" w:space="0" w:color="auto"/>
              <w:bottom w:val="single" w:sz="4" w:space="0" w:color="auto"/>
              <w:right w:val="single" w:sz="4" w:space="0" w:color="auto"/>
            </w:tcBorders>
            <w:vAlign w:val="center"/>
          </w:tcPr>
          <w:p w:rsidR="005E411D" w:rsidRPr="005E411D" w:rsidRDefault="005E411D" w:rsidP="005E411D">
            <w:pPr>
              <w:widowControl/>
              <w:jc w:val="center"/>
              <w:rPr>
                <w:rFonts w:ascii="宋体" w:hAnsi="宋体" w:cs="宋体"/>
                <w:kern w:val="0"/>
                <w:sz w:val="20"/>
                <w:szCs w:val="20"/>
              </w:rPr>
            </w:pPr>
            <w:r>
              <w:rPr>
                <w:rFonts w:ascii="宋体" w:hAnsi="宋体" w:cs="宋体" w:hint="eastAsia"/>
                <w:kern w:val="0"/>
                <w:sz w:val="20"/>
                <w:szCs w:val="20"/>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201210265253.2</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检测胃癌细胞中MT2A基因表达状态的引物对、试剂盒以及DATS在上调胃癌细胞中MT2A表达中的应用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吕有勇</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2012.7.27</w:t>
            </w:r>
          </w:p>
        </w:tc>
      </w:tr>
    </w:tbl>
    <w:p w:rsidR="005E411D" w:rsidRDefault="005E411D" w:rsidP="005E411D">
      <w:pPr>
        <w:widowControl/>
        <w:jc w:val="center"/>
        <w:rPr>
          <w:rFonts w:ascii="宋体" w:hAnsi="宋体" w:cs="宋体" w:hint="eastAsia"/>
          <w:b/>
          <w:bCs/>
          <w:kern w:val="0"/>
          <w:sz w:val="20"/>
          <w:szCs w:val="20"/>
        </w:rPr>
      </w:pPr>
    </w:p>
    <w:p w:rsidR="00FC5A0B" w:rsidRDefault="00FC5A0B" w:rsidP="005E411D">
      <w:pPr>
        <w:widowControl/>
        <w:jc w:val="center"/>
        <w:rPr>
          <w:rFonts w:ascii="宋体" w:hAnsi="宋体" w:cs="宋体" w:hint="eastAsia"/>
          <w:b/>
          <w:bCs/>
          <w:kern w:val="0"/>
          <w:sz w:val="20"/>
          <w:szCs w:val="20"/>
        </w:rPr>
      </w:pPr>
    </w:p>
    <w:p w:rsidR="00FC5A0B" w:rsidRPr="005E411D" w:rsidRDefault="00FC5A0B" w:rsidP="005E411D">
      <w:pPr>
        <w:widowControl/>
        <w:jc w:val="center"/>
        <w:rPr>
          <w:rFonts w:ascii="宋体" w:hAnsi="宋体" w:cs="宋体"/>
          <w:b/>
          <w:bCs/>
          <w:kern w:val="0"/>
          <w:sz w:val="20"/>
          <w:szCs w:val="20"/>
        </w:rPr>
      </w:pPr>
    </w:p>
    <w:p w:rsidR="00857560" w:rsidRDefault="005E411D" w:rsidP="005E411D">
      <w:pPr>
        <w:jc w:val="center"/>
        <w:rPr>
          <w:rFonts w:ascii="仿宋_GB2312" w:eastAsia="仿宋_GB2312"/>
          <w:sz w:val="24"/>
          <w:szCs w:val="30"/>
        </w:rPr>
      </w:pPr>
      <w:r>
        <w:rPr>
          <w:rFonts w:ascii="宋体" w:hAnsi="宋体" w:cs="宋体" w:hint="eastAsia"/>
          <w:b/>
          <w:bCs/>
          <w:kern w:val="0"/>
          <w:sz w:val="20"/>
          <w:szCs w:val="20"/>
        </w:rPr>
        <w:lastRenderedPageBreak/>
        <w:t>授权专利情况</w:t>
      </w:r>
    </w:p>
    <w:tbl>
      <w:tblPr>
        <w:tblW w:w="9077" w:type="dxa"/>
        <w:tblInd w:w="103" w:type="dxa"/>
        <w:tblLayout w:type="fixed"/>
        <w:tblLook w:val="04A0"/>
      </w:tblPr>
      <w:tblGrid>
        <w:gridCol w:w="572"/>
        <w:gridCol w:w="1276"/>
        <w:gridCol w:w="709"/>
        <w:gridCol w:w="1984"/>
        <w:gridCol w:w="1701"/>
        <w:gridCol w:w="1276"/>
        <w:gridCol w:w="1559"/>
      </w:tblGrid>
      <w:tr w:rsidR="005E411D" w:rsidRPr="005E411D" w:rsidTr="005E411D">
        <w:trPr>
          <w:trHeight w:val="62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专利类型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发明人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专利权人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b/>
                <w:bCs/>
                <w:kern w:val="0"/>
                <w:sz w:val="20"/>
                <w:szCs w:val="20"/>
              </w:rPr>
            </w:pPr>
            <w:r w:rsidRPr="005E411D">
              <w:rPr>
                <w:rFonts w:ascii="宋体" w:hAnsi="宋体" w:cs="宋体" w:hint="eastAsia"/>
                <w:b/>
                <w:bCs/>
                <w:kern w:val="0"/>
                <w:sz w:val="20"/>
                <w:szCs w:val="20"/>
              </w:rPr>
              <w:t>授权日</w:t>
            </w:r>
          </w:p>
        </w:tc>
      </w:tr>
      <w:tr w:rsidR="005E411D" w:rsidRPr="005E411D" w:rsidTr="005E411D">
        <w:trPr>
          <w:trHeight w:val="7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200610113568.X</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用于血管生成治疗的小肽及其应用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寿成超   苏亚辉</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2012.2.22</w:t>
            </w:r>
          </w:p>
        </w:tc>
      </w:tr>
      <w:tr w:rsidR="005E411D" w:rsidRPr="005E411D" w:rsidTr="005E411D">
        <w:trPr>
          <w:trHeight w:val="14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200810057021.1</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人羧肽酶A抑制因子Latexin 单克隆抗体及其应用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柯杨 李勇 陆哲明 宁涛 巴桑卓玛 丁慧荣 魏浩然</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2012.02.15</w:t>
            </w:r>
          </w:p>
        </w:tc>
      </w:tr>
      <w:tr w:rsidR="005E411D" w:rsidRPr="005E411D" w:rsidTr="005E411D">
        <w:trPr>
          <w:trHeight w:val="96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2"/>
                <w:szCs w:val="22"/>
              </w:rPr>
            </w:pPr>
            <w:r w:rsidRPr="005E411D">
              <w:rPr>
                <w:rFonts w:ascii="宋体" w:hAnsi="宋体" w:cs="宋体" w:hint="eastAsia"/>
                <w:kern w:val="0"/>
                <w:sz w:val="20"/>
                <w:szCs w:val="20"/>
              </w:rPr>
              <w:t>200810105770.7</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SNCG的单克隆抗体及其应用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寿成超  刘彩云   吴健     孟麟</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北京市肿瘤防治研究所</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2012.02.29</w:t>
            </w:r>
          </w:p>
        </w:tc>
      </w:tr>
      <w:tr w:rsidR="005E411D" w:rsidRPr="005E411D" w:rsidTr="005E411D">
        <w:trPr>
          <w:trHeight w:val="12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200910180628.3</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一种肝癌细胞系及其应用</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邢宝才、王觎、许小兰、杜晓娟、柯杨</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北京肿瘤医院</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2012</w:t>
            </w:r>
            <w:r w:rsidRPr="005E411D">
              <w:rPr>
                <w:rFonts w:ascii="宋体" w:hAnsi="宋体" w:cs="宋体" w:hint="eastAsia"/>
                <w:kern w:val="0"/>
                <w:sz w:val="22"/>
                <w:szCs w:val="22"/>
              </w:rPr>
              <w:t>.6.6</w:t>
            </w:r>
          </w:p>
        </w:tc>
      </w:tr>
      <w:tr w:rsidR="005E411D" w:rsidRPr="005E411D" w:rsidTr="005E411D">
        <w:trPr>
          <w:trHeight w:val="16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E411D" w:rsidRPr="005E411D" w:rsidRDefault="005E411D" w:rsidP="005E411D">
            <w:pPr>
              <w:widowControl/>
              <w:jc w:val="center"/>
              <w:rPr>
                <w:rFonts w:ascii="宋体" w:hAnsi="宋体" w:cs="宋体"/>
                <w:kern w:val="0"/>
                <w:sz w:val="20"/>
                <w:szCs w:val="20"/>
              </w:rPr>
            </w:pPr>
            <w:r w:rsidRPr="005E411D">
              <w:rPr>
                <w:rFonts w:ascii="宋体" w:hAnsi="宋体"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201110006721.X</w:t>
            </w:r>
          </w:p>
        </w:tc>
        <w:tc>
          <w:tcPr>
            <w:tcW w:w="70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发明专利</w:t>
            </w:r>
          </w:p>
        </w:tc>
        <w:tc>
          <w:tcPr>
            <w:tcW w:w="1984"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核仁磷酸蛋白可变剪接体的质谱鉴定方法和胃癌诊断试剂盒</w:t>
            </w:r>
          </w:p>
        </w:tc>
        <w:tc>
          <w:tcPr>
            <w:tcW w:w="1701"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季加孚、彭勇、张连海、李子禹、宗祥龙、吴晓江、胡颖</w:t>
            </w:r>
          </w:p>
        </w:tc>
        <w:tc>
          <w:tcPr>
            <w:tcW w:w="1276"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北京肿瘤医院</w:t>
            </w:r>
          </w:p>
        </w:tc>
        <w:tc>
          <w:tcPr>
            <w:tcW w:w="1559" w:type="dxa"/>
            <w:tcBorders>
              <w:top w:val="nil"/>
              <w:left w:val="nil"/>
              <w:bottom w:val="single" w:sz="4" w:space="0" w:color="auto"/>
              <w:right w:val="single" w:sz="4" w:space="0" w:color="auto"/>
            </w:tcBorders>
            <w:shd w:val="clear" w:color="auto" w:fill="auto"/>
            <w:vAlign w:val="center"/>
            <w:hideMark/>
          </w:tcPr>
          <w:p w:rsidR="005E411D" w:rsidRPr="005E411D" w:rsidRDefault="005E411D" w:rsidP="005E411D">
            <w:pPr>
              <w:widowControl/>
              <w:jc w:val="left"/>
              <w:rPr>
                <w:rFonts w:ascii="宋体" w:hAnsi="宋体" w:cs="宋体"/>
                <w:kern w:val="0"/>
                <w:sz w:val="20"/>
                <w:szCs w:val="20"/>
              </w:rPr>
            </w:pPr>
            <w:r w:rsidRPr="005E411D">
              <w:rPr>
                <w:rFonts w:ascii="宋体" w:hAnsi="宋体" w:cs="宋体" w:hint="eastAsia"/>
                <w:kern w:val="0"/>
                <w:sz w:val="20"/>
                <w:szCs w:val="20"/>
              </w:rPr>
              <w:t>2012.12.12</w:t>
            </w:r>
          </w:p>
        </w:tc>
      </w:tr>
    </w:tbl>
    <w:p w:rsidR="005E411D" w:rsidRDefault="005E411D" w:rsidP="00857560">
      <w:pPr>
        <w:rPr>
          <w:rFonts w:ascii="仿宋_GB2312" w:eastAsia="仿宋_GB2312"/>
          <w:sz w:val="24"/>
          <w:szCs w:val="30"/>
        </w:rPr>
      </w:pPr>
    </w:p>
    <w:p w:rsidR="00784C1A" w:rsidRDefault="00784C1A" w:rsidP="00D77B88">
      <w:pPr>
        <w:numPr>
          <w:ilvl w:val="0"/>
          <w:numId w:val="1"/>
        </w:numPr>
        <w:tabs>
          <w:tab w:val="clear" w:pos="1280"/>
          <w:tab w:val="num" w:pos="0"/>
        </w:tabs>
        <w:ind w:left="0" w:firstLine="0"/>
        <w:rPr>
          <w:sz w:val="28"/>
          <w:szCs w:val="28"/>
        </w:rPr>
      </w:pPr>
      <w:r>
        <w:rPr>
          <w:rFonts w:ascii="仿宋_GB2312" w:eastAsia="仿宋_GB2312"/>
          <w:b/>
          <w:bCs/>
          <w:sz w:val="24"/>
          <w:szCs w:val="30"/>
        </w:rPr>
        <w:t>队伍建设与人才培养</w:t>
      </w: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人才队伍情况：总人数，其中院士、长江学者、杰出青年人数，教授、副教授人数</w:t>
      </w:r>
    </w:p>
    <w:p w:rsidR="009C30D6" w:rsidRPr="00CF1F67" w:rsidRDefault="009C30D6" w:rsidP="009C30D6">
      <w:pPr>
        <w:widowControl/>
        <w:spacing w:line="360" w:lineRule="auto"/>
        <w:jc w:val="left"/>
        <w:rPr>
          <w:sz w:val="24"/>
        </w:rPr>
      </w:pPr>
      <w:r w:rsidRPr="00CF1F67">
        <w:rPr>
          <w:rFonts w:hint="eastAsia"/>
          <w:sz w:val="24"/>
        </w:rPr>
        <w:t>固定人员：</w:t>
      </w:r>
      <w:r w:rsidR="00CF1F67" w:rsidRPr="00CF1F67">
        <w:rPr>
          <w:rFonts w:hint="eastAsia"/>
          <w:sz w:val="24"/>
        </w:rPr>
        <w:t>87</w:t>
      </w:r>
      <w:r w:rsidRPr="00CF1F67">
        <w:rPr>
          <w:rFonts w:hint="eastAsia"/>
          <w:sz w:val="24"/>
        </w:rPr>
        <w:t>人</w:t>
      </w:r>
    </w:p>
    <w:p w:rsidR="009C30D6" w:rsidRPr="00CF1F67" w:rsidRDefault="009C30D6" w:rsidP="009C30D6">
      <w:pPr>
        <w:widowControl/>
        <w:spacing w:line="360" w:lineRule="auto"/>
        <w:ind w:left="560"/>
        <w:jc w:val="left"/>
        <w:rPr>
          <w:sz w:val="24"/>
        </w:rPr>
      </w:pPr>
      <w:r w:rsidRPr="00CF1F67">
        <w:rPr>
          <w:rFonts w:hint="eastAsia"/>
          <w:sz w:val="24"/>
        </w:rPr>
        <w:t>其中：院士：</w:t>
      </w:r>
      <w:r w:rsidRPr="00CF1F67">
        <w:rPr>
          <w:rFonts w:hint="eastAsia"/>
          <w:sz w:val="24"/>
        </w:rPr>
        <w:t>1</w:t>
      </w:r>
      <w:r w:rsidRPr="00CF1F67">
        <w:rPr>
          <w:rFonts w:hint="eastAsia"/>
          <w:sz w:val="24"/>
        </w:rPr>
        <w:t>人</w:t>
      </w:r>
    </w:p>
    <w:p w:rsidR="009C30D6" w:rsidRPr="00CF1F67" w:rsidRDefault="009C30D6" w:rsidP="009C30D6">
      <w:pPr>
        <w:widowControl/>
        <w:spacing w:line="360" w:lineRule="auto"/>
        <w:ind w:left="560"/>
        <w:jc w:val="left"/>
        <w:rPr>
          <w:sz w:val="24"/>
        </w:rPr>
      </w:pPr>
      <w:r w:rsidRPr="00CF1F67">
        <w:rPr>
          <w:rFonts w:hint="eastAsia"/>
          <w:sz w:val="24"/>
        </w:rPr>
        <w:t>长江学者特聘教授：</w:t>
      </w:r>
      <w:r w:rsidRPr="00CF1F67">
        <w:rPr>
          <w:rFonts w:hint="eastAsia"/>
          <w:sz w:val="24"/>
        </w:rPr>
        <w:t>1</w:t>
      </w:r>
      <w:r w:rsidRPr="00CF1F67">
        <w:rPr>
          <w:rFonts w:hint="eastAsia"/>
          <w:sz w:val="24"/>
        </w:rPr>
        <w:t>人</w:t>
      </w:r>
    </w:p>
    <w:p w:rsidR="009C30D6" w:rsidRPr="00CF1F67" w:rsidRDefault="009C30D6" w:rsidP="009C30D6">
      <w:pPr>
        <w:widowControl/>
        <w:spacing w:line="360" w:lineRule="auto"/>
        <w:ind w:left="560"/>
        <w:jc w:val="left"/>
        <w:rPr>
          <w:sz w:val="24"/>
        </w:rPr>
      </w:pPr>
      <w:r w:rsidRPr="00CF1F67">
        <w:rPr>
          <w:rFonts w:hint="eastAsia"/>
          <w:sz w:val="24"/>
        </w:rPr>
        <w:t>国家杰出青年基金获得者：</w:t>
      </w:r>
      <w:r w:rsidRPr="00CF1F67">
        <w:rPr>
          <w:rFonts w:hint="eastAsia"/>
          <w:sz w:val="24"/>
        </w:rPr>
        <w:t>5</w:t>
      </w:r>
      <w:r w:rsidRPr="00CF1F67">
        <w:rPr>
          <w:rFonts w:hint="eastAsia"/>
          <w:sz w:val="24"/>
        </w:rPr>
        <w:t>人</w:t>
      </w:r>
    </w:p>
    <w:p w:rsidR="009C30D6" w:rsidRPr="00CF1F67" w:rsidRDefault="009C30D6" w:rsidP="009C30D6">
      <w:pPr>
        <w:widowControl/>
        <w:spacing w:line="360" w:lineRule="auto"/>
        <w:ind w:left="560"/>
        <w:jc w:val="left"/>
        <w:rPr>
          <w:sz w:val="24"/>
        </w:rPr>
      </w:pPr>
      <w:r w:rsidRPr="00CF1F67">
        <w:rPr>
          <w:rFonts w:hint="eastAsia"/>
          <w:sz w:val="24"/>
        </w:rPr>
        <w:t>教授：</w:t>
      </w:r>
      <w:r w:rsidR="00CF1F67" w:rsidRPr="00CF1F67">
        <w:rPr>
          <w:rFonts w:hint="eastAsia"/>
          <w:sz w:val="24"/>
        </w:rPr>
        <w:t>13</w:t>
      </w:r>
      <w:r w:rsidRPr="00CF1F67">
        <w:rPr>
          <w:rFonts w:hint="eastAsia"/>
          <w:sz w:val="24"/>
        </w:rPr>
        <w:t>人，副教授：</w:t>
      </w:r>
      <w:r w:rsidR="00CF1F67" w:rsidRPr="00CF1F67">
        <w:rPr>
          <w:rFonts w:hint="eastAsia"/>
          <w:sz w:val="24"/>
        </w:rPr>
        <w:t>19</w:t>
      </w:r>
      <w:r w:rsidRPr="00CF1F67">
        <w:rPr>
          <w:rFonts w:hint="eastAsia"/>
          <w:sz w:val="24"/>
        </w:rPr>
        <w:t>人</w:t>
      </w: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人才培养情况：在站博士后、在读博士生、硕士生人数</w:t>
      </w:r>
    </w:p>
    <w:p w:rsidR="005E411D" w:rsidRPr="00CF1F67" w:rsidRDefault="00CF1F67" w:rsidP="00CF1F67">
      <w:pPr>
        <w:widowControl/>
        <w:spacing w:line="360" w:lineRule="auto"/>
        <w:ind w:firstLineChars="200" w:firstLine="480"/>
        <w:jc w:val="left"/>
        <w:rPr>
          <w:sz w:val="24"/>
        </w:rPr>
      </w:pPr>
      <w:r w:rsidRPr="00CF1F67">
        <w:rPr>
          <w:rFonts w:hint="eastAsia"/>
          <w:sz w:val="24"/>
        </w:rPr>
        <w:t>在站博士后：</w:t>
      </w:r>
      <w:r w:rsidRPr="00CF1F67">
        <w:rPr>
          <w:rFonts w:hint="eastAsia"/>
          <w:sz w:val="24"/>
        </w:rPr>
        <w:t>3</w:t>
      </w:r>
      <w:r w:rsidRPr="00CF1F67">
        <w:rPr>
          <w:rFonts w:hint="eastAsia"/>
          <w:sz w:val="24"/>
        </w:rPr>
        <w:t>人</w:t>
      </w:r>
      <w:r>
        <w:rPr>
          <w:rFonts w:hint="eastAsia"/>
          <w:sz w:val="24"/>
        </w:rPr>
        <w:t>；在读博士生</w:t>
      </w:r>
      <w:r>
        <w:rPr>
          <w:rFonts w:hint="eastAsia"/>
          <w:sz w:val="24"/>
        </w:rPr>
        <w:t>152</w:t>
      </w:r>
      <w:r>
        <w:rPr>
          <w:rFonts w:hint="eastAsia"/>
          <w:sz w:val="24"/>
        </w:rPr>
        <w:t>人、硕士生</w:t>
      </w:r>
      <w:r>
        <w:rPr>
          <w:rFonts w:hint="eastAsia"/>
          <w:sz w:val="24"/>
        </w:rPr>
        <w:t>110</w:t>
      </w:r>
      <w:r>
        <w:rPr>
          <w:rFonts w:hint="eastAsia"/>
          <w:sz w:val="24"/>
        </w:rPr>
        <w:t>人。</w:t>
      </w:r>
    </w:p>
    <w:p w:rsidR="005E411D" w:rsidRDefault="005E411D" w:rsidP="005E411D">
      <w:pPr>
        <w:rPr>
          <w:rFonts w:ascii="仿宋_GB2312" w:eastAsia="仿宋_GB2312"/>
          <w:sz w:val="24"/>
          <w:szCs w:val="30"/>
        </w:rPr>
      </w:pPr>
    </w:p>
    <w:p w:rsidR="00784C1A" w:rsidRDefault="00784C1A" w:rsidP="00D77B88">
      <w:pPr>
        <w:numPr>
          <w:ilvl w:val="0"/>
          <w:numId w:val="1"/>
        </w:numPr>
        <w:tabs>
          <w:tab w:val="clear" w:pos="1280"/>
          <w:tab w:val="num" w:pos="0"/>
        </w:tabs>
        <w:ind w:left="0" w:firstLine="0"/>
        <w:rPr>
          <w:sz w:val="28"/>
          <w:szCs w:val="28"/>
        </w:rPr>
      </w:pPr>
      <w:r>
        <w:rPr>
          <w:rFonts w:ascii="仿宋_GB2312" w:eastAsia="仿宋_GB2312"/>
          <w:b/>
          <w:bCs/>
          <w:sz w:val="24"/>
          <w:szCs w:val="30"/>
        </w:rPr>
        <w:lastRenderedPageBreak/>
        <w:t>开放交流与运行管理</w:t>
      </w:r>
    </w:p>
    <w:p w:rsidR="0028477E" w:rsidRDefault="00784C1A" w:rsidP="0028477E">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开放课题情况（项数，总经费）</w:t>
      </w:r>
    </w:p>
    <w:p w:rsidR="0028477E" w:rsidRDefault="0028477E" w:rsidP="0028477E">
      <w:pPr>
        <w:ind w:firstLineChars="200" w:firstLine="480"/>
        <w:rPr>
          <w:rFonts w:asciiTheme="majorEastAsia" w:eastAsiaTheme="majorEastAsia" w:hAnsiTheme="majorEastAsia"/>
          <w:sz w:val="24"/>
          <w:szCs w:val="30"/>
        </w:rPr>
      </w:pPr>
      <w:r w:rsidRPr="0028477E">
        <w:rPr>
          <w:rFonts w:asciiTheme="majorEastAsia" w:eastAsiaTheme="majorEastAsia" w:hAnsiTheme="majorEastAsia" w:hint="eastAsia"/>
          <w:sz w:val="24"/>
          <w:szCs w:val="30"/>
        </w:rPr>
        <w:t>2013年</w:t>
      </w:r>
      <w:r>
        <w:rPr>
          <w:rFonts w:asciiTheme="majorEastAsia" w:eastAsiaTheme="majorEastAsia" w:hAnsiTheme="majorEastAsia" w:hint="eastAsia"/>
          <w:sz w:val="24"/>
          <w:szCs w:val="30"/>
        </w:rPr>
        <w:t>将</w:t>
      </w:r>
      <w:r w:rsidRPr="0028477E">
        <w:rPr>
          <w:rFonts w:asciiTheme="majorEastAsia" w:eastAsiaTheme="majorEastAsia" w:hAnsiTheme="majorEastAsia" w:hint="eastAsia"/>
          <w:sz w:val="24"/>
          <w:szCs w:val="30"/>
        </w:rPr>
        <w:t>启动此项工作。</w:t>
      </w:r>
    </w:p>
    <w:p w:rsidR="0028477E" w:rsidRPr="0028477E" w:rsidRDefault="0028477E" w:rsidP="0028477E">
      <w:pPr>
        <w:ind w:firstLineChars="200" w:firstLine="480"/>
        <w:rPr>
          <w:rFonts w:asciiTheme="majorEastAsia" w:eastAsiaTheme="majorEastAsia" w:hAnsiTheme="majorEastAsia"/>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承办学术会议情况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2487"/>
        <w:gridCol w:w="2033"/>
        <w:gridCol w:w="1202"/>
        <w:gridCol w:w="1190"/>
      </w:tblGrid>
      <w:tr w:rsidR="008F3371" w:rsidRPr="005412F3" w:rsidTr="003C656E">
        <w:tc>
          <w:tcPr>
            <w:tcW w:w="1668" w:type="dxa"/>
          </w:tcPr>
          <w:p w:rsidR="008F3371" w:rsidRPr="005412F3" w:rsidRDefault="008F3371" w:rsidP="003C656E">
            <w:pPr>
              <w:jc w:val="center"/>
              <w:rPr>
                <w:b/>
              </w:rPr>
            </w:pPr>
            <w:r w:rsidRPr="005412F3">
              <w:rPr>
                <w:rFonts w:hint="eastAsia"/>
                <w:b/>
              </w:rPr>
              <w:t>时间</w:t>
            </w:r>
          </w:p>
        </w:tc>
        <w:tc>
          <w:tcPr>
            <w:tcW w:w="2592" w:type="dxa"/>
          </w:tcPr>
          <w:p w:rsidR="008F3371" w:rsidRPr="005412F3" w:rsidRDefault="008F3371" w:rsidP="003C656E">
            <w:pPr>
              <w:jc w:val="center"/>
              <w:rPr>
                <w:b/>
              </w:rPr>
            </w:pPr>
            <w:r w:rsidRPr="005412F3">
              <w:rPr>
                <w:rFonts w:hint="eastAsia"/>
                <w:b/>
              </w:rPr>
              <w:t>会议名称</w:t>
            </w:r>
          </w:p>
        </w:tc>
        <w:tc>
          <w:tcPr>
            <w:tcW w:w="2131" w:type="dxa"/>
          </w:tcPr>
          <w:p w:rsidR="008F3371" w:rsidRPr="005412F3" w:rsidRDefault="008F3371" w:rsidP="003C656E">
            <w:pPr>
              <w:jc w:val="center"/>
              <w:rPr>
                <w:b/>
              </w:rPr>
            </w:pPr>
            <w:r w:rsidRPr="005412F3">
              <w:rPr>
                <w:rFonts w:hint="eastAsia"/>
                <w:b/>
              </w:rPr>
              <w:t>地点</w:t>
            </w:r>
          </w:p>
        </w:tc>
        <w:tc>
          <w:tcPr>
            <w:tcW w:w="1230" w:type="dxa"/>
          </w:tcPr>
          <w:p w:rsidR="008F3371" w:rsidRPr="005412F3" w:rsidRDefault="008F3371" w:rsidP="003C656E">
            <w:pPr>
              <w:jc w:val="center"/>
              <w:rPr>
                <w:b/>
              </w:rPr>
            </w:pPr>
            <w:r w:rsidRPr="005412F3">
              <w:rPr>
                <w:rFonts w:hint="eastAsia"/>
                <w:b/>
              </w:rPr>
              <w:t>参加人数</w:t>
            </w:r>
          </w:p>
        </w:tc>
        <w:tc>
          <w:tcPr>
            <w:tcW w:w="1230" w:type="dxa"/>
          </w:tcPr>
          <w:p w:rsidR="008F3371" w:rsidRDefault="008F3371" w:rsidP="003C656E">
            <w:pPr>
              <w:jc w:val="center"/>
              <w:rPr>
                <w:b/>
              </w:rPr>
            </w:pPr>
            <w:r>
              <w:rPr>
                <w:rFonts w:hint="eastAsia"/>
                <w:b/>
              </w:rPr>
              <w:t>会议类型</w:t>
            </w:r>
          </w:p>
          <w:p w:rsidR="008F3371" w:rsidRPr="001023D5" w:rsidRDefault="008F3371" w:rsidP="003C656E">
            <w:pPr>
              <w:jc w:val="center"/>
            </w:pPr>
            <w:r w:rsidRPr="001023D5">
              <w:rPr>
                <w:rFonts w:hint="eastAsia"/>
                <w:sz w:val="16"/>
              </w:rPr>
              <w:t>（国内</w:t>
            </w:r>
            <w:r w:rsidRPr="001023D5">
              <w:rPr>
                <w:rFonts w:hint="eastAsia"/>
                <w:sz w:val="16"/>
              </w:rPr>
              <w:t>/</w:t>
            </w:r>
            <w:r w:rsidRPr="001023D5">
              <w:rPr>
                <w:rFonts w:hint="eastAsia"/>
                <w:sz w:val="16"/>
              </w:rPr>
              <w:t>国际）</w:t>
            </w:r>
          </w:p>
        </w:tc>
      </w:tr>
      <w:tr w:rsidR="008F3371" w:rsidTr="003C656E">
        <w:tc>
          <w:tcPr>
            <w:tcW w:w="1668" w:type="dxa"/>
          </w:tcPr>
          <w:p w:rsidR="008F3371" w:rsidRDefault="00337CB2" w:rsidP="003C656E">
            <w:r w:rsidRPr="003464F2">
              <w:t>5</w:t>
            </w:r>
            <w:r w:rsidRPr="003464F2">
              <w:t>月</w:t>
            </w:r>
            <w:r w:rsidRPr="003464F2">
              <w:t>19</w:t>
            </w:r>
            <w:r w:rsidRPr="003464F2">
              <w:t>日</w:t>
            </w:r>
          </w:p>
        </w:tc>
        <w:tc>
          <w:tcPr>
            <w:tcW w:w="2592" w:type="dxa"/>
          </w:tcPr>
          <w:p w:rsidR="008F3371" w:rsidRDefault="00337CB2" w:rsidP="003C656E">
            <w:r w:rsidRPr="003464F2">
              <w:t>第二届多中心骨与软组织肉瘤诊治学术会议</w:t>
            </w:r>
          </w:p>
        </w:tc>
        <w:tc>
          <w:tcPr>
            <w:tcW w:w="2131" w:type="dxa"/>
          </w:tcPr>
          <w:p w:rsidR="008F3371" w:rsidRPr="0017258F" w:rsidRDefault="00337CB2" w:rsidP="003C656E">
            <w:r>
              <w:rPr>
                <w:rFonts w:hint="eastAsia"/>
              </w:rPr>
              <w:t>北京</w:t>
            </w:r>
          </w:p>
        </w:tc>
        <w:tc>
          <w:tcPr>
            <w:tcW w:w="1230" w:type="dxa"/>
          </w:tcPr>
          <w:p w:rsidR="008F3371" w:rsidRDefault="00337CB2" w:rsidP="003C656E">
            <w:r>
              <w:rPr>
                <w:rFonts w:hint="eastAsia"/>
              </w:rPr>
              <w:t>100</w:t>
            </w:r>
          </w:p>
        </w:tc>
        <w:tc>
          <w:tcPr>
            <w:tcW w:w="1230" w:type="dxa"/>
          </w:tcPr>
          <w:p w:rsidR="008F3371" w:rsidRDefault="00337CB2" w:rsidP="003C656E">
            <w:r>
              <w:rPr>
                <w:rFonts w:hint="eastAsia"/>
              </w:rPr>
              <w:t>国内</w:t>
            </w:r>
          </w:p>
        </w:tc>
      </w:tr>
      <w:tr w:rsidR="008F3371" w:rsidTr="003C656E">
        <w:tc>
          <w:tcPr>
            <w:tcW w:w="1668" w:type="dxa"/>
          </w:tcPr>
          <w:p w:rsidR="008F3371" w:rsidRDefault="00337CB2" w:rsidP="003C656E">
            <w:r w:rsidRPr="003464F2">
              <w:t>6</w:t>
            </w:r>
            <w:r w:rsidRPr="003464F2">
              <w:t>月</w:t>
            </w:r>
            <w:r w:rsidRPr="003464F2">
              <w:t>23</w:t>
            </w:r>
            <w:r w:rsidRPr="003464F2">
              <w:t>日</w:t>
            </w:r>
            <w:r w:rsidRPr="003464F2">
              <w:t>—24</w:t>
            </w:r>
            <w:r w:rsidRPr="003464F2">
              <w:t>日</w:t>
            </w:r>
          </w:p>
        </w:tc>
        <w:tc>
          <w:tcPr>
            <w:tcW w:w="2592" w:type="dxa"/>
          </w:tcPr>
          <w:p w:rsidR="008F3371" w:rsidRPr="002F7031" w:rsidRDefault="00337CB2" w:rsidP="003C656E">
            <w:r w:rsidRPr="003464F2">
              <w:t>第七届全国胃癌学术会议</w:t>
            </w:r>
          </w:p>
        </w:tc>
        <w:tc>
          <w:tcPr>
            <w:tcW w:w="2131" w:type="dxa"/>
          </w:tcPr>
          <w:p w:rsidR="008F3371" w:rsidRDefault="00337CB2" w:rsidP="003C656E">
            <w:r>
              <w:rPr>
                <w:rFonts w:hint="eastAsia"/>
              </w:rPr>
              <w:t>北京</w:t>
            </w:r>
          </w:p>
        </w:tc>
        <w:tc>
          <w:tcPr>
            <w:tcW w:w="1230" w:type="dxa"/>
          </w:tcPr>
          <w:p w:rsidR="008F3371" w:rsidRDefault="00337CB2" w:rsidP="003C656E">
            <w:r>
              <w:rPr>
                <w:rFonts w:hint="eastAsia"/>
              </w:rPr>
              <w:t>1000</w:t>
            </w:r>
          </w:p>
        </w:tc>
        <w:tc>
          <w:tcPr>
            <w:tcW w:w="1230" w:type="dxa"/>
          </w:tcPr>
          <w:p w:rsidR="008F3371" w:rsidRDefault="00337CB2" w:rsidP="003C656E">
            <w:r>
              <w:rPr>
                <w:rFonts w:hint="eastAsia"/>
              </w:rPr>
              <w:t>国内</w:t>
            </w:r>
          </w:p>
        </w:tc>
      </w:tr>
      <w:tr w:rsidR="00337CB2" w:rsidTr="003C656E">
        <w:tc>
          <w:tcPr>
            <w:tcW w:w="1668" w:type="dxa"/>
          </w:tcPr>
          <w:p w:rsidR="00337CB2" w:rsidRPr="003464F2" w:rsidRDefault="00337CB2" w:rsidP="003C656E">
            <w:r w:rsidRPr="003464F2">
              <w:t>9</w:t>
            </w:r>
            <w:r w:rsidRPr="003464F2">
              <w:t>月</w:t>
            </w:r>
            <w:r w:rsidRPr="003464F2">
              <w:t>6</w:t>
            </w:r>
            <w:r w:rsidRPr="003464F2">
              <w:t>日</w:t>
            </w:r>
          </w:p>
        </w:tc>
        <w:tc>
          <w:tcPr>
            <w:tcW w:w="2592" w:type="dxa"/>
          </w:tcPr>
          <w:p w:rsidR="00337CB2" w:rsidRPr="003464F2" w:rsidRDefault="00337CB2" w:rsidP="003464F2">
            <w:pPr>
              <w:pBdr>
                <w:bottom w:val="single" w:sz="4" w:space="0" w:color="BECCE6"/>
              </w:pBdr>
            </w:pPr>
            <w:r w:rsidRPr="00337CB2">
              <w:t>2012</w:t>
            </w:r>
            <w:r w:rsidRPr="00337CB2">
              <w:t>消化道肿瘤临床及转化研究国际研讨会</w:t>
            </w:r>
          </w:p>
        </w:tc>
        <w:tc>
          <w:tcPr>
            <w:tcW w:w="2131" w:type="dxa"/>
          </w:tcPr>
          <w:p w:rsidR="00337CB2" w:rsidRDefault="003464F2" w:rsidP="003C656E">
            <w:r>
              <w:rPr>
                <w:rFonts w:hint="eastAsia"/>
              </w:rPr>
              <w:t>北京</w:t>
            </w:r>
          </w:p>
        </w:tc>
        <w:tc>
          <w:tcPr>
            <w:tcW w:w="1230" w:type="dxa"/>
          </w:tcPr>
          <w:p w:rsidR="00337CB2" w:rsidRDefault="003464F2" w:rsidP="003C656E">
            <w:r>
              <w:rPr>
                <w:rFonts w:hint="eastAsia"/>
              </w:rPr>
              <w:t>60</w:t>
            </w:r>
          </w:p>
        </w:tc>
        <w:tc>
          <w:tcPr>
            <w:tcW w:w="1230" w:type="dxa"/>
          </w:tcPr>
          <w:p w:rsidR="00337CB2" w:rsidRDefault="003464F2" w:rsidP="003C656E">
            <w:r>
              <w:rPr>
                <w:rFonts w:hint="eastAsia"/>
              </w:rPr>
              <w:t>国际</w:t>
            </w:r>
          </w:p>
        </w:tc>
      </w:tr>
      <w:tr w:rsidR="003464F2" w:rsidTr="003C656E">
        <w:tc>
          <w:tcPr>
            <w:tcW w:w="1668" w:type="dxa"/>
          </w:tcPr>
          <w:p w:rsidR="003464F2" w:rsidRPr="003464F2" w:rsidRDefault="003464F2" w:rsidP="003C656E">
            <w:r w:rsidRPr="003464F2">
              <w:t>9</w:t>
            </w:r>
            <w:r w:rsidRPr="003464F2">
              <w:t>月</w:t>
            </w:r>
            <w:r w:rsidRPr="003464F2">
              <w:t>8-9</w:t>
            </w:r>
            <w:r w:rsidRPr="003464F2">
              <w:t>日</w:t>
            </w:r>
          </w:p>
        </w:tc>
        <w:tc>
          <w:tcPr>
            <w:tcW w:w="2592" w:type="dxa"/>
          </w:tcPr>
          <w:p w:rsidR="003464F2" w:rsidRPr="00337CB2" w:rsidRDefault="003464F2" w:rsidP="003464F2">
            <w:pPr>
              <w:pBdr>
                <w:bottom w:val="single" w:sz="4" w:space="0" w:color="BECCE6"/>
              </w:pBdr>
            </w:pPr>
            <w:r w:rsidRPr="003464F2">
              <w:t>第四届国际合作医患沟通工作坊</w:t>
            </w:r>
          </w:p>
        </w:tc>
        <w:tc>
          <w:tcPr>
            <w:tcW w:w="2131" w:type="dxa"/>
          </w:tcPr>
          <w:p w:rsidR="003464F2" w:rsidRDefault="003464F2" w:rsidP="003C656E">
            <w:r>
              <w:rPr>
                <w:rFonts w:hint="eastAsia"/>
              </w:rPr>
              <w:t>北京</w:t>
            </w:r>
          </w:p>
        </w:tc>
        <w:tc>
          <w:tcPr>
            <w:tcW w:w="1230" w:type="dxa"/>
          </w:tcPr>
          <w:p w:rsidR="003464F2" w:rsidRDefault="003464F2" w:rsidP="003C656E">
            <w:r>
              <w:rPr>
                <w:rFonts w:hint="eastAsia"/>
              </w:rPr>
              <w:t>40</w:t>
            </w:r>
          </w:p>
        </w:tc>
        <w:tc>
          <w:tcPr>
            <w:tcW w:w="1230" w:type="dxa"/>
          </w:tcPr>
          <w:p w:rsidR="003464F2" w:rsidRDefault="003464F2" w:rsidP="003C656E">
            <w:r>
              <w:rPr>
                <w:rFonts w:hint="eastAsia"/>
              </w:rPr>
              <w:t>国际</w:t>
            </w:r>
          </w:p>
        </w:tc>
      </w:tr>
      <w:tr w:rsidR="003464F2" w:rsidTr="003C656E">
        <w:tc>
          <w:tcPr>
            <w:tcW w:w="1668" w:type="dxa"/>
          </w:tcPr>
          <w:p w:rsidR="003464F2" w:rsidRPr="003464F2" w:rsidRDefault="003464F2" w:rsidP="003C656E">
            <w:r w:rsidRPr="003464F2">
              <w:t>9</w:t>
            </w:r>
            <w:r w:rsidRPr="003464F2">
              <w:t>月</w:t>
            </w:r>
            <w:r w:rsidRPr="003464F2">
              <w:t>19</w:t>
            </w:r>
            <w:r w:rsidRPr="003464F2">
              <w:t>日</w:t>
            </w:r>
          </w:p>
        </w:tc>
        <w:tc>
          <w:tcPr>
            <w:tcW w:w="2592" w:type="dxa"/>
          </w:tcPr>
          <w:p w:rsidR="003464F2" w:rsidRPr="003464F2" w:rsidRDefault="003464F2" w:rsidP="003464F2">
            <w:pPr>
              <w:pBdr>
                <w:bottom w:val="single" w:sz="4" w:space="0" w:color="BECCE6"/>
              </w:pBdr>
            </w:pPr>
            <w:r w:rsidRPr="003464F2">
              <w:t>第十五届全国临床肿瘤学大会暨</w:t>
            </w:r>
            <w:r w:rsidRPr="003464F2">
              <w:t>2012</w:t>
            </w:r>
            <w:r w:rsidRPr="003464F2">
              <w:t>年</w:t>
            </w:r>
            <w:r w:rsidRPr="003464F2">
              <w:t>CSCO</w:t>
            </w:r>
            <w:r w:rsidRPr="003464F2">
              <w:t>学术年会</w:t>
            </w:r>
          </w:p>
        </w:tc>
        <w:tc>
          <w:tcPr>
            <w:tcW w:w="2131" w:type="dxa"/>
          </w:tcPr>
          <w:p w:rsidR="003464F2" w:rsidRDefault="003464F2" w:rsidP="003C656E">
            <w:r>
              <w:rPr>
                <w:rFonts w:hint="eastAsia"/>
              </w:rPr>
              <w:t>北京</w:t>
            </w:r>
          </w:p>
        </w:tc>
        <w:tc>
          <w:tcPr>
            <w:tcW w:w="1230" w:type="dxa"/>
          </w:tcPr>
          <w:p w:rsidR="003464F2" w:rsidRDefault="003464F2" w:rsidP="003C656E">
            <w:r>
              <w:rPr>
                <w:rFonts w:hint="eastAsia"/>
              </w:rPr>
              <w:t>10000</w:t>
            </w:r>
          </w:p>
        </w:tc>
        <w:tc>
          <w:tcPr>
            <w:tcW w:w="1230" w:type="dxa"/>
          </w:tcPr>
          <w:p w:rsidR="003464F2" w:rsidRDefault="003464F2" w:rsidP="003C656E">
            <w:r>
              <w:rPr>
                <w:rFonts w:hint="eastAsia"/>
              </w:rPr>
              <w:t>国内</w:t>
            </w:r>
          </w:p>
        </w:tc>
      </w:tr>
      <w:tr w:rsidR="003464F2" w:rsidTr="003C656E">
        <w:tc>
          <w:tcPr>
            <w:tcW w:w="1668" w:type="dxa"/>
          </w:tcPr>
          <w:p w:rsidR="003464F2" w:rsidRPr="003464F2" w:rsidRDefault="003464F2" w:rsidP="003C656E">
            <w:r w:rsidRPr="003464F2">
              <w:t>11</w:t>
            </w:r>
            <w:r w:rsidRPr="003464F2">
              <w:t>月</w:t>
            </w:r>
            <w:r w:rsidRPr="003464F2">
              <w:t>3</w:t>
            </w:r>
            <w:r w:rsidRPr="003464F2">
              <w:t>日</w:t>
            </w:r>
            <w:r w:rsidRPr="003464F2">
              <w:t>-4</w:t>
            </w:r>
            <w:r w:rsidRPr="003464F2">
              <w:t>日</w:t>
            </w:r>
          </w:p>
        </w:tc>
        <w:tc>
          <w:tcPr>
            <w:tcW w:w="2592" w:type="dxa"/>
          </w:tcPr>
          <w:p w:rsidR="003464F2" w:rsidRPr="003464F2" w:rsidRDefault="003464F2" w:rsidP="003464F2">
            <w:pPr>
              <w:pBdr>
                <w:bottom w:val="single" w:sz="4" w:space="0" w:color="BECCE6"/>
              </w:pBdr>
            </w:pPr>
            <w:r w:rsidRPr="003464F2">
              <w:t>2012</w:t>
            </w:r>
            <w:r w:rsidRPr="003464F2">
              <w:t>年北京黑色素瘤国际研讨会</w:t>
            </w:r>
          </w:p>
        </w:tc>
        <w:tc>
          <w:tcPr>
            <w:tcW w:w="2131" w:type="dxa"/>
          </w:tcPr>
          <w:p w:rsidR="003464F2" w:rsidRDefault="003464F2" w:rsidP="003C656E">
            <w:r>
              <w:rPr>
                <w:rFonts w:hint="eastAsia"/>
              </w:rPr>
              <w:t>北京</w:t>
            </w:r>
          </w:p>
        </w:tc>
        <w:tc>
          <w:tcPr>
            <w:tcW w:w="1230" w:type="dxa"/>
          </w:tcPr>
          <w:p w:rsidR="003464F2" w:rsidRDefault="003464F2" w:rsidP="003C656E">
            <w:r>
              <w:rPr>
                <w:rFonts w:hint="eastAsia"/>
              </w:rPr>
              <w:t>400</w:t>
            </w:r>
          </w:p>
        </w:tc>
        <w:tc>
          <w:tcPr>
            <w:tcW w:w="1230" w:type="dxa"/>
          </w:tcPr>
          <w:p w:rsidR="003464F2" w:rsidRDefault="003464F2" w:rsidP="003C656E">
            <w:r>
              <w:rPr>
                <w:rFonts w:hint="eastAsia"/>
              </w:rPr>
              <w:t>国际</w:t>
            </w:r>
          </w:p>
        </w:tc>
      </w:tr>
      <w:tr w:rsidR="003464F2" w:rsidTr="003C656E">
        <w:tc>
          <w:tcPr>
            <w:tcW w:w="1668" w:type="dxa"/>
          </w:tcPr>
          <w:p w:rsidR="003464F2" w:rsidRPr="003464F2" w:rsidRDefault="003464F2" w:rsidP="003C656E">
            <w:r w:rsidRPr="003464F2">
              <w:t>11</w:t>
            </w:r>
            <w:r w:rsidRPr="003464F2">
              <w:t>月</w:t>
            </w:r>
            <w:r w:rsidRPr="003464F2">
              <w:t>16</w:t>
            </w:r>
            <w:r w:rsidRPr="003464F2">
              <w:t>日</w:t>
            </w:r>
            <w:r w:rsidRPr="003464F2">
              <w:t>-18</w:t>
            </w:r>
            <w:r w:rsidRPr="003464F2">
              <w:t>日</w:t>
            </w:r>
          </w:p>
        </w:tc>
        <w:tc>
          <w:tcPr>
            <w:tcW w:w="2592" w:type="dxa"/>
          </w:tcPr>
          <w:p w:rsidR="003464F2" w:rsidRPr="003464F2" w:rsidRDefault="003464F2" w:rsidP="003464F2">
            <w:pPr>
              <w:pBdr>
                <w:bottom w:val="single" w:sz="4" w:space="0" w:color="BECCE6"/>
              </w:pBdr>
            </w:pPr>
            <w:r w:rsidRPr="003464F2">
              <w:t>第三届全球肿瘤放疗进展论坛</w:t>
            </w:r>
          </w:p>
        </w:tc>
        <w:tc>
          <w:tcPr>
            <w:tcW w:w="2131" w:type="dxa"/>
          </w:tcPr>
          <w:p w:rsidR="003464F2" w:rsidRDefault="003464F2" w:rsidP="003C656E">
            <w:r>
              <w:rPr>
                <w:rFonts w:hint="eastAsia"/>
              </w:rPr>
              <w:t>北京</w:t>
            </w:r>
          </w:p>
        </w:tc>
        <w:tc>
          <w:tcPr>
            <w:tcW w:w="1230" w:type="dxa"/>
          </w:tcPr>
          <w:p w:rsidR="003464F2" w:rsidRDefault="003464F2" w:rsidP="003C656E">
            <w:r>
              <w:rPr>
                <w:rFonts w:hint="eastAsia"/>
              </w:rPr>
              <w:t>300</w:t>
            </w:r>
          </w:p>
        </w:tc>
        <w:tc>
          <w:tcPr>
            <w:tcW w:w="1230" w:type="dxa"/>
          </w:tcPr>
          <w:p w:rsidR="003464F2" w:rsidRDefault="003464F2" w:rsidP="003C656E">
            <w:r>
              <w:rPr>
                <w:rFonts w:hint="eastAsia"/>
              </w:rPr>
              <w:t>国际</w:t>
            </w:r>
          </w:p>
        </w:tc>
      </w:tr>
    </w:tbl>
    <w:p w:rsidR="008F3371" w:rsidRPr="008F3371" w:rsidRDefault="008F3371" w:rsidP="008F3371">
      <w:pPr>
        <w:rPr>
          <w:rFonts w:ascii="仿宋_GB2312" w:eastAsia="仿宋_GB2312"/>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实验室内部规章制度是否健全（是否有年报、简报等）</w:t>
      </w:r>
    </w:p>
    <w:p w:rsidR="00B35302" w:rsidRPr="0028477E" w:rsidRDefault="00B35302" w:rsidP="0028477E">
      <w:pPr>
        <w:widowControl/>
        <w:spacing w:line="360" w:lineRule="auto"/>
        <w:ind w:firstLineChars="233" w:firstLine="559"/>
        <w:jc w:val="left"/>
        <w:rPr>
          <w:sz w:val="24"/>
        </w:rPr>
      </w:pPr>
      <w:r w:rsidRPr="0028477E">
        <w:rPr>
          <w:rFonts w:hint="eastAsia"/>
          <w:sz w:val="24"/>
        </w:rPr>
        <w:t>本实验室自</w:t>
      </w:r>
      <w:r w:rsidR="008E3AF9" w:rsidRPr="0028477E">
        <w:rPr>
          <w:rFonts w:hint="eastAsia"/>
          <w:sz w:val="24"/>
        </w:rPr>
        <w:t>开放运行以来</w:t>
      </w:r>
      <w:r w:rsidRPr="0028477E">
        <w:rPr>
          <w:rFonts w:hint="eastAsia"/>
          <w:sz w:val="24"/>
        </w:rPr>
        <w:t>，积极进行实验室建设，在原有院所制度的基础上，进一步完善内部规章制度</w:t>
      </w:r>
      <w:r w:rsidR="008E3AF9" w:rsidRPr="0028477E">
        <w:rPr>
          <w:rFonts w:hint="eastAsia"/>
          <w:sz w:val="24"/>
        </w:rPr>
        <w:t>，</w:t>
      </w:r>
      <w:r w:rsidR="008E3AF9" w:rsidRPr="0028477E">
        <w:rPr>
          <w:rFonts w:hint="eastAsia"/>
          <w:sz w:val="24"/>
        </w:rPr>
        <w:t>2012</w:t>
      </w:r>
      <w:r w:rsidR="008E3AF9" w:rsidRPr="0028477E">
        <w:rPr>
          <w:rFonts w:hint="eastAsia"/>
          <w:sz w:val="24"/>
        </w:rPr>
        <w:t>年又制定了《关于签署各类对外科研相关合同（协议）的规定的补充规定》</w:t>
      </w:r>
      <w:r w:rsidRPr="0028477E">
        <w:rPr>
          <w:rFonts w:hint="eastAsia"/>
          <w:sz w:val="24"/>
        </w:rPr>
        <w:t>。</w:t>
      </w:r>
    </w:p>
    <w:p w:rsidR="00B35302" w:rsidRPr="0028477E" w:rsidRDefault="008E3AF9" w:rsidP="0028477E">
      <w:pPr>
        <w:widowControl/>
        <w:spacing w:line="360" w:lineRule="auto"/>
        <w:ind w:firstLineChars="233" w:firstLine="559"/>
        <w:jc w:val="left"/>
        <w:rPr>
          <w:sz w:val="24"/>
        </w:rPr>
      </w:pPr>
      <w:r w:rsidRPr="0028477E">
        <w:rPr>
          <w:rFonts w:hint="eastAsia"/>
          <w:sz w:val="24"/>
        </w:rPr>
        <w:t>每</w:t>
      </w:r>
      <w:r w:rsidR="00B35302" w:rsidRPr="0028477E">
        <w:rPr>
          <w:rFonts w:hint="eastAsia"/>
          <w:sz w:val="24"/>
        </w:rPr>
        <w:t>年</w:t>
      </w:r>
      <w:r w:rsidRPr="0028477E">
        <w:rPr>
          <w:rFonts w:hint="eastAsia"/>
          <w:sz w:val="24"/>
        </w:rPr>
        <w:t>均</w:t>
      </w:r>
      <w:r w:rsidR="00B35302" w:rsidRPr="0028477E">
        <w:rPr>
          <w:rFonts w:hint="eastAsia"/>
          <w:sz w:val="24"/>
        </w:rPr>
        <w:t>向医学部报送教育部重点实验室年度总结，除此之外，还以科室为单位制作</w:t>
      </w:r>
      <w:r w:rsidRPr="0028477E">
        <w:rPr>
          <w:rFonts w:hint="eastAsia"/>
          <w:sz w:val="24"/>
        </w:rPr>
        <w:t>本</w:t>
      </w:r>
      <w:r w:rsidR="00B35302" w:rsidRPr="0028477E">
        <w:rPr>
          <w:rFonts w:hint="eastAsia"/>
          <w:sz w:val="24"/>
        </w:rPr>
        <w:t>年</w:t>
      </w:r>
      <w:r w:rsidRPr="0028477E">
        <w:rPr>
          <w:rFonts w:hint="eastAsia"/>
          <w:sz w:val="24"/>
        </w:rPr>
        <w:t>度</w:t>
      </w:r>
      <w:r w:rsidR="00B35302" w:rsidRPr="0028477E">
        <w:rPr>
          <w:rFonts w:hint="eastAsia"/>
          <w:sz w:val="24"/>
        </w:rPr>
        <w:t>重点实验室年报。</w:t>
      </w:r>
    </w:p>
    <w:p w:rsidR="00AE255C" w:rsidRPr="0028477E" w:rsidRDefault="00AE255C" w:rsidP="0028477E">
      <w:pPr>
        <w:widowControl/>
        <w:spacing w:line="360" w:lineRule="auto"/>
        <w:ind w:firstLineChars="233" w:firstLine="559"/>
        <w:jc w:val="left"/>
        <w:rPr>
          <w:sz w:val="24"/>
        </w:rPr>
      </w:pPr>
      <w:r w:rsidRPr="0028477E">
        <w:rPr>
          <w:sz w:val="24"/>
        </w:rPr>
        <w:t>为了</w:t>
      </w:r>
      <w:r w:rsidR="008E3AF9" w:rsidRPr="0028477E">
        <w:rPr>
          <w:rFonts w:hint="eastAsia"/>
          <w:sz w:val="24"/>
        </w:rPr>
        <w:t>更好地发挥教育部重点实验室开放平台的功能，</w:t>
      </w:r>
      <w:r w:rsidRPr="0028477E">
        <w:rPr>
          <w:sz w:val="24"/>
        </w:rPr>
        <w:t>进一步加强肿瘤医院和医学部、校本部的合作，促进彼此间的交流，真正达到优势互补、强强合作，</w:t>
      </w:r>
      <w:r w:rsidR="008E3AF9" w:rsidRPr="0028477E">
        <w:rPr>
          <w:rFonts w:hint="eastAsia"/>
          <w:sz w:val="24"/>
        </w:rPr>
        <w:t>实验室</w:t>
      </w:r>
      <w:r w:rsidRPr="0028477E">
        <w:rPr>
          <w:sz w:val="24"/>
        </w:rPr>
        <w:t>2012</w:t>
      </w:r>
      <w:r w:rsidRPr="0028477E">
        <w:rPr>
          <w:sz w:val="24"/>
        </w:rPr>
        <w:t>年</w:t>
      </w:r>
      <w:r w:rsidRPr="0028477E">
        <w:rPr>
          <w:sz w:val="24"/>
        </w:rPr>
        <w:t>5</w:t>
      </w:r>
      <w:r w:rsidRPr="0028477E">
        <w:rPr>
          <w:sz w:val="24"/>
        </w:rPr>
        <w:t>月</w:t>
      </w:r>
      <w:r w:rsidRPr="0028477E">
        <w:rPr>
          <w:sz w:val="24"/>
        </w:rPr>
        <w:t>17</w:t>
      </w:r>
      <w:r w:rsidRPr="0028477E">
        <w:rPr>
          <w:sz w:val="24"/>
        </w:rPr>
        <w:t>日在北京八达岭金隅温泉度假村，召集我</w:t>
      </w:r>
      <w:r w:rsidR="008E3AF9" w:rsidRPr="0028477E">
        <w:rPr>
          <w:rFonts w:hint="eastAsia"/>
          <w:sz w:val="24"/>
        </w:rPr>
        <w:t>室</w:t>
      </w:r>
      <w:r w:rsidRPr="0028477E">
        <w:rPr>
          <w:sz w:val="24"/>
        </w:rPr>
        <w:t>申报</w:t>
      </w:r>
      <w:r w:rsidR="008E3AF9" w:rsidRPr="0028477E">
        <w:rPr>
          <w:rFonts w:hint="eastAsia"/>
          <w:sz w:val="24"/>
        </w:rPr>
        <w:t>985</w:t>
      </w:r>
      <w:r w:rsidR="008E3AF9" w:rsidRPr="0028477E">
        <w:rPr>
          <w:rFonts w:hint="eastAsia"/>
          <w:sz w:val="24"/>
        </w:rPr>
        <w:t>临床专项的</w:t>
      </w:r>
      <w:r w:rsidRPr="0028477E">
        <w:rPr>
          <w:sz w:val="24"/>
        </w:rPr>
        <w:t>专家和北大校本部及医学部的合作者</w:t>
      </w:r>
      <w:r w:rsidR="00857560" w:rsidRPr="0028477E">
        <w:rPr>
          <w:sz w:val="24"/>
        </w:rPr>
        <w:t>三十余人</w:t>
      </w:r>
      <w:r w:rsidRPr="0028477E">
        <w:rPr>
          <w:sz w:val="24"/>
        </w:rPr>
        <w:t>举行交流会。</w:t>
      </w:r>
      <w:r w:rsidRPr="0028477E">
        <w:rPr>
          <w:sz w:val="24"/>
        </w:rPr>
        <w:t xml:space="preserve"> </w:t>
      </w:r>
    </w:p>
    <w:p w:rsidR="00AE255C" w:rsidRPr="0028477E" w:rsidRDefault="00857560" w:rsidP="0028477E">
      <w:pPr>
        <w:widowControl/>
        <w:spacing w:line="360" w:lineRule="auto"/>
        <w:ind w:firstLineChars="233" w:firstLine="559"/>
        <w:jc w:val="left"/>
        <w:rPr>
          <w:sz w:val="24"/>
        </w:rPr>
      </w:pPr>
      <w:r w:rsidRPr="0028477E">
        <w:rPr>
          <w:rFonts w:hint="eastAsia"/>
          <w:sz w:val="24"/>
        </w:rPr>
        <w:lastRenderedPageBreak/>
        <w:t>为了提高实验室申报国家自然科学基金的中标率，</w:t>
      </w:r>
      <w:r w:rsidR="00AE255C" w:rsidRPr="0028477E">
        <w:rPr>
          <w:rFonts w:hint="eastAsia"/>
          <w:sz w:val="24"/>
        </w:rPr>
        <w:t>2012</w:t>
      </w:r>
      <w:r w:rsidR="00AE255C" w:rsidRPr="0028477E">
        <w:rPr>
          <w:rFonts w:hint="eastAsia"/>
          <w:sz w:val="24"/>
        </w:rPr>
        <w:t>年</w:t>
      </w:r>
      <w:r w:rsidR="00AE255C" w:rsidRPr="0028477E">
        <w:rPr>
          <w:sz w:val="24"/>
        </w:rPr>
        <w:t>10</w:t>
      </w:r>
      <w:r w:rsidR="00AE255C" w:rsidRPr="0028477E">
        <w:rPr>
          <w:sz w:val="24"/>
        </w:rPr>
        <w:t>月</w:t>
      </w:r>
      <w:r w:rsidR="00AE255C" w:rsidRPr="0028477E">
        <w:rPr>
          <w:sz w:val="24"/>
        </w:rPr>
        <w:t>18-19</w:t>
      </w:r>
      <w:r w:rsidR="00AE255C" w:rsidRPr="0028477E">
        <w:rPr>
          <w:sz w:val="24"/>
        </w:rPr>
        <w:t>日，</w:t>
      </w:r>
      <w:r w:rsidRPr="0028477E">
        <w:rPr>
          <w:rFonts w:hint="eastAsia"/>
          <w:sz w:val="24"/>
        </w:rPr>
        <w:t>实验室</w:t>
      </w:r>
      <w:r w:rsidR="00AE255C" w:rsidRPr="0028477E">
        <w:rPr>
          <w:sz w:val="24"/>
        </w:rPr>
        <w:t>在金隅八达岭温泉度假村举办了国家自然科学基金申请书撰写培训活动。近</w:t>
      </w:r>
      <w:r w:rsidR="00AE255C" w:rsidRPr="0028477E">
        <w:rPr>
          <w:sz w:val="24"/>
        </w:rPr>
        <w:t>60</w:t>
      </w:r>
      <w:r w:rsidR="00AE255C" w:rsidRPr="0028477E">
        <w:rPr>
          <w:sz w:val="24"/>
        </w:rPr>
        <w:t>名青年科研人员参加了这一活动，会上邀请</w:t>
      </w:r>
      <w:r w:rsidRPr="0028477E">
        <w:rPr>
          <w:rFonts w:hint="eastAsia"/>
          <w:sz w:val="24"/>
        </w:rPr>
        <w:t>实验室申报国家自然科学基金中标率高的</w:t>
      </w:r>
      <w:r w:rsidR="00AE255C" w:rsidRPr="0028477E">
        <w:rPr>
          <w:sz w:val="24"/>
        </w:rPr>
        <w:t>邓大君教授、吕有勇教授、寿成超教授和张志谦教授做了精彩的演讲。</w:t>
      </w:r>
      <w:r w:rsidR="00AE255C" w:rsidRPr="0028477E">
        <w:rPr>
          <w:sz w:val="24"/>
        </w:rPr>
        <w:t> </w:t>
      </w:r>
    </w:p>
    <w:p w:rsidR="00B35302" w:rsidRPr="00B35302" w:rsidRDefault="00B35302" w:rsidP="00B35302">
      <w:pPr>
        <w:ind w:firstLineChars="233" w:firstLine="559"/>
        <w:rPr>
          <w:rFonts w:ascii="仿宋_GB2312" w:eastAsia="仿宋_GB2312"/>
          <w:sz w:val="24"/>
          <w:szCs w:val="30"/>
        </w:rPr>
      </w:pPr>
    </w:p>
    <w:p w:rsidR="00784C1A" w:rsidRDefault="00784C1A" w:rsidP="00D77B88">
      <w:pPr>
        <w:numPr>
          <w:ilvl w:val="1"/>
          <w:numId w:val="1"/>
        </w:numPr>
        <w:tabs>
          <w:tab w:val="clear" w:pos="1340"/>
          <w:tab w:val="num" w:pos="0"/>
        </w:tabs>
        <w:ind w:left="0" w:firstLine="0"/>
        <w:rPr>
          <w:rFonts w:ascii="仿宋_GB2312" w:eastAsia="仿宋_GB2312"/>
          <w:sz w:val="24"/>
          <w:szCs w:val="30"/>
        </w:rPr>
      </w:pPr>
      <w:r>
        <w:rPr>
          <w:rFonts w:ascii="仿宋_GB2312" w:eastAsia="仿宋_GB2312" w:hint="eastAsia"/>
          <w:sz w:val="24"/>
          <w:szCs w:val="30"/>
        </w:rPr>
        <w:t>本年度召开学术委员会会议情况</w:t>
      </w:r>
    </w:p>
    <w:p w:rsidR="00DF7621" w:rsidRPr="00DF7621" w:rsidRDefault="00DF7621" w:rsidP="00DF7621">
      <w:pPr>
        <w:spacing w:line="360" w:lineRule="auto"/>
        <w:ind w:firstLineChars="236" w:firstLine="566"/>
        <w:rPr>
          <w:sz w:val="24"/>
        </w:rPr>
      </w:pPr>
      <w:r w:rsidRPr="00DF7621">
        <w:rPr>
          <w:rFonts w:hint="eastAsia"/>
          <w:sz w:val="24"/>
        </w:rPr>
        <w:t>2012</w:t>
      </w:r>
      <w:r w:rsidRPr="00DF7621">
        <w:rPr>
          <w:rFonts w:hint="eastAsia"/>
          <w:sz w:val="24"/>
        </w:rPr>
        <w:t>年</w:t>
      </w:r>
      <w:r w:rsidRPr="00DF7621">
        <w:rPr>
          <w:rFonts w:hint="eastAsia"/>
          <w:sz w:val="24"/>
        </w:rPr>
        <w:t>3</w:t>
      </w:r>
      <w:r w:rsidRPr="00DF7621">
        <w:rPr>
          <w:rFonts w:hint="eastAsia"/>
          <w:sz w:val="24"/>
        </w:rPr>
        <w:t>月</w:t>
      </w:r>
      <w:r w:rsidRPr="00DF7621">
        <w:rPr>
          <w:rFonts w:hint="eastAsia"/>
          <w:sz w:val="24"/>
        </w:rPr>
        <w:t>30</w:t>
      </w:r>
      <w:r w:rsidRPr="00DF7621">
        <w:rPr>
          <w:rFonts w:hint="eastAsia"/>
          <w:sz w:val="24"/>
        </w:rPr>
        <w:t>日“恶性肿瘤发病机制及转化研究”教育部重点实验室召开了第三次学术委员会，参加会议的学委会委员有詹启敏院士、方伟岗教授、郭亚军教授、游伟程教授、寿成超教授，学委会还特别邀请了北京协和医学院校长曾益新院士出席了会议。我院领导非常重视教育部重点实验室的工作，季加孚院长、朱军书记、郭军副院长和沈琳副院长也出席了学委会，听取了实验室的工作汇报和学委会委员给予的指导性意见和建议。</w:t>
      </w:r>
    </w:p>
    <w:p w:rsidR="00D77B88" w:rsidRPr="00DF7621" w:rsidRDefault="00D77B88" w:rsidP="00DF7621">
      <w:pPr>
        <w:ind w:leftChars="3" w:left="565" w:hangingChars="233" w:hanging="559"/>
        <w:rPr>
          <w:rFonts w:ascii="仿宋_GB2312" w:eastAsia="仿宋_GB2312"/>
          <w:sz w:val="24"/>
          <w:szCs w:val="30"/>
        </w:rPr>
      </w:pPr>
    </w:p>
    <w:p w:rsidR="00784C1A" w:rsidRPr="00A26650" w:rsidRDefault="00784C1A" w:rsidP="00D77B88">
      <w:pPr>
        <w:numPr>
          <w:ilvl w:val="0"/>
          <w:numId w:val="1"/>
        </w:numPr>
        <w:tabs>
          <w:tab w:val="clear" w:pos="1280"/>
          <w:tab w:val="num" w:pos="0"/>
        </w:tabs>
        <w:ind w:left="0" w:firstLine="0"/>
        <w:rPr>
          <w:sz w:val="28"/>
          <w:szCs w:val="28"/>
        </w:rPr>
      </w:pPr>
      <w:r>
        <w:rPr>
          <w:rFonts w:ascii="仿宋_GB2312" w:eastAsia="仿宋_GB2312" w:hint="eastAsia"/>
          <w:b/>
          <w:bCs/>
          <w:sz w:val="24"/>
          <w:szCs w:val="30"/>
        </w:rPr>
        <w:t>问题及建议</w:t>
      </w:r>
    </w:p>
    <w:p w:rsidR="000520C4" w:rsidRDefault="000520C4" w:rsidP="000520C4">
      <w:pPr>
        <w:spacing w:line="360" w:lineRule="auto"/>
        <w:ind w:firstLineChars="236" w:firstLine="566"/>
        <w:rPr>
          <w:sz w:val="24"/>
        </w:rPr>
      </w:pPr>
      <w:r>
        <w:rPr>
          <w:rFonts w:hint="eastAsia"/>
          <w:sz w:val="24"/>
        </w:rPr>
        <w:t>实验室将利用开放运行平台，继续整合北京大学和医学部相关优秀人才，开展多学科交叉合作，进一步提升实验室科研水平。</w:t>
      </w:r>
    </w:p>
    <w:p w:rsidR="00784C1A" w:rsidRPr="0028477E" w:rsidRDefault="0028477E" w:rsidP="000520C4">
      <w:pPr>
        <w:spacing w:line="360" w:lineRule="auto"/>
        <w:ind w:firstLineChars="236" w:firstLine="566"/>
        <w:rPr>
          <w:sz w:val="24"/>
        </w:rPr>
      </w:pPr>
      <w:r w:rsidRPr="0028477E">
        <w:rPr>
          <w:rFonts w:hint="eastAsia"/>
          <w:sz w:val="24"/>
        </w:rPr>
        <w:t>建议教育部对重点实验室给予一定的运行经费的支持</w:t>
      </w:r>
      <w:r w:rsidR="000520C4">
        <w:rPr>
          <w:rFonts w:hint="eastAsia"/>
          <w:sz w:val="24"/>
        </w:rPr>
        <w:t>，以保证和促进实验室建设和可持续发展</w:t>
      </w:r>
      <w:r w:rsidRPr="0028477E">
        <w:rPr>
          <w:rFonts w:hint="eastAsia"/>
          <w:sz w:val="24"/>
        </w:rPr>
        <w:t>。</w:t>
      </w:r>
    </w:p>
    <w:p w:rsidR="00167C44" w:rsidRPr="000520C4" w:rsidRDefault="00167C44" w:rsidP="000520C4">
      <w:pPr>
        <w:spacing w:line="360" w:lineRule="auto"/>
        <w:ind w:firstLineChars="236" w:firstLine="566"/>
        <w:rPr>
          <w:sz w:val="24"/>
        </w:rPr>
      </w:pPr>
    </w:p>
    <w:sectPr w:rsidR="00167C44" w:rsidRPr="000520C4" w:rsidSect="00167C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03" w:rsidRDefault="00185303" w:rsidP="003C656E">
      <w:r>
        <w:separator/>
      </w:r>
    </w:p>
  </w:endnote>
  <w:endnote w:type="continuationSeparator" w:id="1">
    <w:p w:rsidR="00185303" w:rsidRDefault="00185303" w:rsidP="003C6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03" w:rsidRDefault="00185303" w:rsidP="003C656E">
      <w:r>
        <w:separator/>
      </w:r>
    </w:p>
  </w:footnote>
  <w:footnote w:type="continuationSeparator" w:id="1">
    <w:p w:rsidR="00185303" w:rsidRDefault="00185303" w:rsidP="003C6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5467C"/>
    <w:multiLevelType w:val="hybridMultilevel"/>
    <w:tmpl w:val="890ACAFA"/>
    <w:lvl w:ilvl="0" w:tplc="EF1E0D8C">
      <w:start w:val="1"/>
      <w:numFmt w:val="japaneseCounting"/>
      <w:lvlText w:val="%1、"/>
      <w:lvlJc w:val="left"/>
      <w:pPr>
        <w:tabs>
          <w:tab w:val="num" w:pos="1280"/>
        </w:tabs>
        <w:ind w:left="1280" w:hanging="720"/>
      </w:pPr>
      <w:rPr>
        <w:rFonts w:ascii="Times New Roman" w:eastAsia="宋体" w:hint="eastAsia"/>
        <w:b w:val="0"/>
        <w:sz w:val="28"/>
      </w:rPr>
    </w:lvl>
    <w:lvl w:ilvl="1" w:tplc="DA1C1920">
      <w:start w:val="1"/>
      <w:numFmt w:val="decimal"/>
      <w:lvlText w:val="%2、"/>
      <w:lvlJc w:val="left"/>
      <w:pPr>
        <w:tabs>
          <w:tab w:val="num" w:pos="1340"/>
        </w:tabs>
        <w:ind w:left="1340" w:hanging="36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C1A"/>
    <w:rsid w:val="00046913"/>
    <w:rsid w:val="000520C4"/>
    <w:rsid w:val="000852CF"/>
    <w:rsid w:val="00104062"/>
    <w:rsid w:val="00110FFD"/>
    <w:rsid w:val="00167C44"/>
    <w:rsid w:val="00185303"/>
    <w:rsid w:val="001B5745"/>
    <w:rsid w:val="0026629F"/>
    <w:rsid w:val="0028477E"/>
    <w:rsid w:val="002E0DEA"/>
    <w:rsid w:val="00337CB2"/>
    <w:rsid w:val="003464F2"/>
    <w:rsid w:val="0035352F"/>
    <w:rsid w:val="003C656E"/>
    <w:rsid w:val="0045192E"/>
    <w:rsid w:val="0049387A"/>
    <w:rsid w:val="00502692"/>
    <w:rsid w:val="005E411D"/>
    <w:rsid w:val="00703B1E"/>
    <w:rsid w:val="00710770"/>
    <w:rsid w:val="00736213"/>
    <w:rsid w:val="00784C1A"/>
    <w:rsid w:val="007936A6"/>
    <w:rsid w:val="007E6AAE"/>
    <w:rsid w:val="00857560"/>
    <w:rsid w:val="00880871"/>
    <w:rsid w:val="008D32EE"/>
    <w:rsid w:val="008E09EE"/>
    <w:rsid w:val="008E3AF9"/>
    <w:rsid w:val="008F3371"/>
    <w:rsid w:val="009867BF"/>
    <w:rsid w:val="009C30D6"/>
    <w:rsid w:val="009E0888"/>
    <w:rsid w:val="00A90F46"/>
    <w:rsid w:val="00AD3807"/>
    <w:rsid w:val="00AE255C"/>
    <w:rsid w:val="00AF4E45"/>
    <w:rsid w:val="00B35302"/>
    <w:rsid w:val="00BB1E41"/>
    <w:rsid w:val="00C70B20"/>
    <w:rsid w:val="00CF1F67"/>
    <w:rsid w:val="00D77B88"/>
    <w:rsid w:val="00DF7621"/>
    <w:rsid w:val="00F75B80"/>
    <w:rsid w:val="00FC5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621"/>
    <w:pPr>
      <w:ind w:firstLineChars="200" w:firstLine="420"/>
    </w:pPr>
  </w:style>
  <w:style w:type="paragraph" w:styleId="a4">
    <w:name w:val="header"/>
    <w:basedOn w:val="a"/>
    <w:link w:val="Char"/>
    <w:uiPriority w:val="99"/>
    <w:semiHidden/>
    <w:unhideWhenUsed/>
    <w:rsid w:val="003C6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656E"/>
    <w:rPr>
      <w:rFonts w:ascii="Times New Roman" w:eastAsia="宋体" w:hAnsi="Times New Roman" w:cs="Times New Roman"/>
      <w:sz w:val="18"/>
      <w:szCs w:val="18"/>
    </w:rPr>
  </w:style>
  <w:style w:type="paragraph" w:styleId="a5">
    <w:name w:val="footer"/>
    <w:basedOn w:val="a"/>
    <w:link w:val="Char0"/>
    <w:uiPriority w:val="99"/>
    <w:semiHidden/>
    <w:unhideWhenUsed/>
    <w:rsid w:val="003C65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656E"/>
    <w:rPr>
      <w:rFonts w:ascii="Times New Roman" w:eastAsia="宋体" w:hAnsi="Times New Roman" w:cs="Times New Roman"/>
      <w:sz w:val="18"/>
      <w:szCs w:val="18"/>
    </w:rPr>
  </w:style>
  <w:style w:type="paragraph" w:customStyle="1" w:styleId="CharCharCharChar">
    <w:name w:val="Char Char Char Char"/>
    <w:basedOn w:val="a"/>
    <w:autoRedefine/>
    <w:rsid w:val="009C30D6"/>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331495350">
      <w:bodyDiv w:val="1"/>
      <w:marLeft w:val="0"/>
      <w:marRight w:val="0"/>
      <w:marTop w:val="0"/>
      <w:marBottom w:val="0"/>
      <w:divBdr>
        <w:top w:val="none" w:sz="0" w:space="0" w:color="auto"/>
        <w:left w:val="none" w:sz="0" w:space="0" w:color="auto"/>
        <w:bottom w:val="none" w:sz="0" w:space="0" w:color="auto"/>
        <w:right w:val="none" w:sz="0" w:space="0" w:color="auto"/>
      </w:divBdr>
      <w:divsChild>
        <w:div w:id="365836953">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8745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6973">
      <w:bodyDiv w:val="1"/>
      <w:marLeft w:val="0"/>
      <w:marRight w:val="0"/>
      <w:marTop w:val="0"/>
      <w:marBottom w:val="0"/>
      <w:divBdr>
        <w:top w:val="none" w:sz="0" w:space="0" w:color="auto"/>
        <w:left w:val="none" w:sz="0" w:space="0" w:color="auto"/>
        <w:bottom w:val="none" w:sz="0" w:space="0" w:color="auto"/>
        <w:right w:val="none" w:sz="0" w:space="0" w:color="auto"/>
      </w:divBdr>
    </w:div>
    <w:div w:id="960957277">
      <w:bodyDiv w:val="1"/>
      <w:marLeft w:val="0"/>
      <w:marRight w:val="0"/>
      <w:marTop w:val="0"/>
      <w:marBottom w:val="0"/>
      <w:divBdr>
        <w:top w:val="none" w:sz="0" w:space="0" w:color="auto"/>
        <w:left w:val="none" w:sz="0" w:space="0" w:color="auto"/>
        <w:bottom w:val="none" w:sz="0" w:space="0" w:color="auto"/>
        <w:right w:val="none" w:sz="0" w:space="0" w:color="auto"/>
      </w:divBdr>
    </w:div>
    <w:div w:id="1006977401">
      <w:bodyDiv w:val="1"/>
      <w:marLeft w:val="0"/>
      <w:marRight w:val="0"/>
      <w:marTop w:val="0"/>
      <w:marBottom w:val="0"/>
      <w:divBdr>
        <w:top w:val="none" w:sz="0" w:space="0" w:color="auto"/>
        <w:left w:val="none" w:sz="0" w:space="0" w:color="auto"/>
        <w:bottom w:val="none" w:sz="0" w:space="0" w:color="auto"/>
        <w:right w:val="none" w:sz="0" w:space="0" w:color="auto"/>
      </w:divBdr>
    </w:div>
    <w:div w:id="1310015673">
      <w:bodyDiv w:val="1"/>
      <w:marLeft w:val="0"/>
      <w:marRight w:val="0"/>
      <w:marTop w:val="0"/>
      <w:marBottom w:val="0"/>
      <w:divBdr>
        <w:top w:val="none" w:sz="0" w:space="0" w:color="auto"/>
        <w:left w:val="none" w:sz="0" w:space="0" w:color="auto"/>
        <w:bottom w:val="none" w:sz="0" w:space="0" w:color="auto"/>
        <w:right w:val="none" w:sz="0" w:space="0" w:color="auto"/>
      </w:divBdr>
    </w:div>
    <w:div w:id="1533574181">
      <w:bodyDiv w:val="1"/>
      <w:marLeft w:val="0"/>
      <w:marRight w:val="0"/>
      <w:marTop w:val="0"/>
      <w:marBottom w:val="0"/>
      <w:divBdr>
        <w:top w:val="none" w:sz="0" w:space="0" w:color="auto"/>
        <w:left w:val="none" w:sz="0" w:space="0" w:color="auto"/>
        <w:bottom w:val="none" w:sz="0" w:space="0" w:color="auto"/>
        <w:right w:val="none" w:sz="0" w:space="0" w:color="auto"/>
      </w:divBdr>
      <w:divsChild>
        <w:div w:id="1752460838">
          <w:marLeft w:val="0"/>
          <w:marRight w:val="0"/>
          <w:marTop w:val="0"/>
          <w:marBottom w:val="0"/>
          <w:divBdr>
            <w:top w:val="none" w:sz="0" w:space="0" w:color="auto"/>
            <w:left w:val="none" w:sz="0" w:space="0" w:color="auto"/>
            <w:bottom w:val="none" w:sz="0" w:space="0" w:color="auto"/>
            <w:right w:val="none" w:sz="0" w:space="0" w:color="auto"/>
          </w:divBdr>
          <w:divsChild>
            <w:div w:id="1977369757">
              <w:marLeft w:val="0"/>
              <w:marRight w:val="0"/>
              <w:marTop w:val="0"/>
              <w:marBottom w:val="0"/>
              <w:divBdr>
                <w:top w:val="none" w:sz="0" w:space="0" w:color="auto"/>
                <w:left w:val="none" w:sz="0" w:space="0" w:color="auto"/>
                <w:bottom w:val="none" w:sz="0" w:space="0" w:color="auto"/>
                <w:right w:val="none" w:sz="0" w:space="0" w:color="auto"/>
              </w:divBdr>
              <w:divsChild>
                <w:div w:id="1564870192">
                  <w:marLeft w:val="0"/>
                  <w:marRight w:val="0"/>
                  <w:marTop w:val="0"/>
                  <w:marBottom w:val="0"/>
                  <w:divBdr>
                    <w:top w:val="none" w:sz="0" w:space="0" w:color="auto"/>
                    <w:left w:val="none" w:sz="0" w:space="0" w:color="auto"/>
                    <w:bottom w:val="none" w:sz="0" w:space="0" w:color="auto"/>
                    <w:right w:val="none" w:sz="0" w:space="0" w:color="auto"/>
                  </w:divBdr>
                  <w:divsChild>
                    <w:div w:id="1007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B05C-7E93-43D1-AC31-1400BCF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15</Pages>
  <Words>2263</Words>
  <Characters>12904</Characters>
  <Application>Microsoft Office Word</Application>
  <DocSecurity>0</DocSecurity>
  <Lines>107</Lines>
  <Paragraphs>30</Paragraphs>
  <ScaleCrop>false</ScaleCrop>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2013-03-08T00:36:00Z</dcterms:created>
  <dcterms:modified xsi:type="dcterms:W3CDTF">2013-03-21T01:30:00Z</dcterms:modified>
</cp:coreProperties>
</file>